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E1" w:rsidRDefault="004E13B9" w:rsidP="00550FE1">
      <w:pPr>
        <w:jc w:val="center"/>
      </w:pPr>
      <w:r>
        <w:t xml:space="preserve">NSW </w:t>
      </w:r>
      <w:r w:rsidR="00C63E25">
        <w:t xml:space="preserve">Proposed </w:t>
      </w:r>
      <w:r>
        <w:t>Rule Revisions</w:t>
      </w:r>
      <w:r w:rsidR="005A1FBB">
        <w:t xml:space="preserve"> </w:t>
      </w:r>
      <w:r w:rsidR="00C63E25">
        <w:t xml:space="preserve">&amp; </w:t>
      </w:r>
      <w:r w:rsidR="004C237F">
        <w:t>Options</w:t>
      </w:r>
      <w:r w:rsidR="004C237F">
        <w:br/>
        <w:t>New Development</w:t>
      </w:r>
      <w:r w:rsidR="003C4D46">
        <w:t xml:space="preserve"> &amp; Existing Development</w:t>
      </w:r>
    </w:p>
    <w:p w:rsidR="00BA57BF" w:rsidRDefault="00BA57BF" w:rsidP="00BA57BF">
      <w:r>
        <w:br/>
        <w:t xml:space="preserve">This draft document provides potential revised rule language for addressing specific comments about New Development and Existing Development </w:t>
      </w:r>
      <w:proofErr w:type="spellStart"/>
      <w:r>
        <w:t>Stormwater</w:t>
      </w:r>
      <w:proofErr w:type="spellEnd"/>
      <w:r>
        <w:t xml:space="preserve"> Rules during the rules re-adoption process. The following rule topics are addressed:</w:t>
      </w:r>
    </w:p>
    <w:p w:rsidR="00BA57BF" w:rsidRDefault="00BA57BF" w:rsidP="00BA57BF">
      <w:pPr>
        <w:pStyle w:val="ListParagraph"/>
        <w:numPr>
          <w:ilvl w:val="0"/>
          <w:numId w:val="2"/>
        </w:numPr>
      </w:pPr>
      <w:r>
        <w:t xml:space="preserve">New Development </w:t>
      </w:r>
      <w:r w:rsidRPr="00BA57BF">
        <w:t>Land Disturbance Thresholds &amp; Peak Rate Match</w:t>
      </w:r>
    </w:p>
    <w:p w:rsidR="00BA57BF" w:rsidRDefault="00BA57BF" w:rsidP="00BA57BF">
      <w:pPr>
        <w:pStyle w:val="ListParagraph"/>
        <w:numPr>
          <w:ilvl w:val="0"/>
          <w:numId w:val="2"/>
        </w:numPr>
      </w:pPr>
      <w:r>
        <w:t>Existing Development Creditable Measures in Local Programs &amp; Accounting Methods</w:t>
      </w:r>
    </w:p>
    <w:p w:rsidR="00BA57BF" w:rsidRDefault="00BA57BF" w:rsidP="00BA57BF">
      <w:pPr>
        <w:pStyle w:val="ListParagraph"/>
        <w:numPr>
          <w:ilvl w:val="0"/>
          <w:numId w:val="2"/>
        </w:numPr>
      </w:pPr>
      <w:r>
        <w:t>Existing Development Annual Reporting Requirements</w:t>
      </w:r>
    </w:p>
    <w:p w:rsidR="0034643F" w:rsidRDefault="0034643F" w:rsidP="00BA57BF">
      <w:pPr>
        <w:pStyle w:val="ListParagraph"/>
      </w:pPr>
    </w:p>
    <w:p w:rsidR="005A1FBB" w:rsidRPr="002A1D88" w:rsidRDefault="00680E40" w:rsidP="005A1FBB">
      <w:pPr>
        <w:rPr>
          <w:i/>
          <w:sz w:val="28"/>
          <w:szCs w:val="28"/>
        </w:rPr>
      </w:pPr>
      <w:r w:rsidRPr="002A1D88">
        <w:rPr>
          <w:i/>
          <w:sz w:val="28"/>
          <w:szCs w:val="28"/>
        </w:rPr>
        <w:t xml:space="preserve">I. </w:t>
      </w:r>
      <w:r w:rsidR="0039490F" w:rsidRPr="002A1D88">
        <w:rPr>
          <w:i/>
          <w:sz w:val="28"/>
          <w:szCs w:val="28"/>
          <w:u w:val="single"/>
        </w:rPr>
        <w:t xml:space="preserve">Potential </w:t>
      </w:r>
      <w:r w:rsidR="005A1FBB" w:rsidRPr="002A1D88">
        <w:rPr>
          <w:i/>
          <w:sz w:val="28"/>
          <w:szCs w:val="28"/>
          <w:u w:val="single"/>
        </w:rPr>
        <w:t xml:space="preserve">New Development </w:t>
      </w:r>
      <w:proofErr w:type="spellStart"/>
      <w:r w:rsidR="005A1FBB" w:rsidRPr="002A1D88">
        <w:rPr>
          <w:i/>
          <w:sz w:val="28"/>
          <w:szCs w:val="28"/>
          <w:u w:val="single"/>
        </w:rPr>
        <w:t>Stormwater</w:t>
      </w:r>
      <w:proofErr w:type="spellEnd"/>
      <w:r w:rsidR="005A1FBB" w:rsidRPr="002A1D88">
        <w:rPr>
          <w:i/>
          <w:sz w:val="28"/>
          <w:szCs w:val="28"/>
          <w:u w:val="single"/>
        </w:rPr>
        <w:t xml:space="preserve"> Rule</w:t>
      </w:r>
      <w:r w:rsidR="0039490F" w:rsidRPr="002A1D88">
        <w:rPr>
          <w:i/>
          <w:sz w:val="28"/>
          <w:szCs w:val="28"/>
          <w:u w:val="single"/>
        </w:rPr>
        <w:t xml:space="preserve"> Revisions &amp; Options</w:t>
      </w:r>
    </w:p>
    <w:p w:rsidR="00680E40" w:rsidRPr="004C4991" w:rsidRDefault="005A1FBB" w:rsidP="004C4991">
      <w:pPr>
        <w:pStyle w:val="ListParagraph"/>
        <w:numPr>
          <w:ilvl w:val="0"/>
          <w:numId w:val="2"/>
        </w:numPr>
        <w:rPr>
          <w:b/>
        </w:rPr>
      </w:pPr>
      <w:r w:rsidRPr="005A1FBB">
        <w:rPr>
          <w:b/>
        </w:rPr>
        <w:t>Land Disturbance Thresholds</w:t>
      </w:r>
      <w:r w:rsidR="001B715A">
        <w:rPr>
          <w:b/>
        </w:rPr>
        <w:t xml:space="preserve"> </w:t>
      </w:r>
      <w:r w:rsidR="004C4991">
        <w:rPr>
          <w:b/>
        </w:rPr>
        <w:t>&amp; Peak Rate Match</w:t>
      </w:r>
      <w:r w:rsidR="004C4991">
        <w:rPr>
          <w:b/>
        </w:rPr>
        <w:br/>
      </w:r>
      <w:r w:rsidR="0039490F">
        <w:t>The suggestion</w:t>
      </w:r>
      <w:r w:rsidR="00680E40">
        <w:t xml:space="preserve"> ha</w:t>
      </w:r>
      <w:r w:rsidR="0039490F">
        <w:t>s</w:t>
      </w:r>
      <w:r w:rsidR="00680E40">
        <w:t xml:space="preserve"> been made to either increase the </w:t>
      </w:r>
      <w:r w:rsidR="0039490F">
        <w:t>Falls land disturbance threshold</w:t>
      </w:r>
      <w:r w:rsidR="00680E40">
        <w:t xml:space="preserve"> to 1 acre (similar to Neuse, Tar-Pam and Jordan) or include </w:t>
      </w:r>
      <w:r w:rsidR="001B715A">
        <w:t xml:space="preserve">a </w:t>
      </w:r>
      <w:r w:rsidR="00680E40">
        <w:t xml:space="preserve">provision in the rule </w:t>
      </w:r>
      <w:r w:rsidR="004C4991">
        <w:t xml:space="preserve">new development rule </w:t>
      </w:r>
      <w:r w:rsidR="00680E40">
        <w:t xml:space="preserve">allowing </w:t>
      </w:r>
      <w:r w:rsidR="00C10F1F">
        <w:t xml:space="preserve">large acreage </w:t>
      </w:r>
      <w:r w:rsidR="00680E40">
        <w:t xml:space="preserve">low </w:t>
      </w:r>
      <w:r w:rsidR="001B715A">
        <w:t>density</w:t>
      </w:r>
      <w:r w:rsidR="00680E40">
        <w:t xml:space="preserve"> </w:t>
      </w:r>
      <w:r w:rsidR="00C10F1F">
        <w:t xml:space="preserve">single lot low density </w:t>
      </w:r>
      <w:r w:rsidR="00680E40">
        <w:t>p</w:t>
      </w:r>
      <w:r w:rsidR="00C10F1F">
        <w:t xml:space="preserve">rojects to be </w:t>
      </w:r>
      <w:r w:rsidR="00680E40">
        <w:t>considered compliant with the nutrient targets.</w:t>
      </w:r>
      <w:r w:rsidR="00550FE1">
        <w:t xml:space="preserve"> This would prevent unnecessary expense of </w:t>
      </w:r>
      <w:r w:rsidR="004C4991">
        <w:t xml:space="preserve">requiring the development of a </w:t>
      </w:r>
      <w:proofErr w:type="spellStart"/>
      <w:r w:rsidR="004C4991">
        <w:t>stormwater</w:t>
      </w:r>
      <w:proofErr w:type="spellEnd"/>
      <w:r w:rsidR="004C4991">
        <w:t xml:space="preserve"> management plan</w:t>
      </w:r>
      <w:r w:rsidR="00550FE1">
        <w:t xml:space="preserve"> for these projects. </w:t>
      </w:r>
      <w:r w:rsidR="004C4991">
        <w:t xml:space="preserve">Eliminating the requirement of a </w:t>
      </w:r>
      <w:proofErr w:type="spellStart"/>
      <w:r w:rsidR="004C4991">
        <w:t>stormwater</w:t>
      </w:r>
      <w:proofErr w:type="spellEnd"/>
      <w:r w:rsidR="004C4991">
        <w:t xml:space="preserve"> plan in </w:t>
      </w:r>
      <w:r w:rsidR="00C10F1F">
        <w:t xml:space="preserve">for these large acreage low density residential projects </w:t>
      </w:r>
      <w:r w:rsidR="004C4991">
        <w:t xml:space="preserve">would also </w:t>
      </w:r>
      <w:r w:rsidR="00C10F1F">
        <w:t xml:space="preserve">eliminate the requirement for meeting </w:t>
      </w:r>
      <w:r w:rsidR="004C4991">
        <w:t>peak rate match requirements on sites where BMPs are otherwise not necessary.</w:t>
      </w:r>
      <w:r w:rsidR="00680E40">
        <w:t xml:space="preserve"> </w:t>
      </w:r>
    </w:p>
    <w:p w:rsidR="0073286F" w:rsidRDefault="0073286F" w:rsidP="0073286F">
      <w:pPr>
        <w:pStyle w:val="ListParagraph"/>
        <w:ind w:left="1440"/>
      </w:pPr>
    </w:p>
    <w:p w:rsidR="00552F89" w:rsidRPr="00552F89" w:rsidRDefault="00F63CD9" w:rsidP="00C10F1F">
      <w:pPr>
        <w:pStyle w:val="ListParagraph"/>
        <w:numPr>
          <w:ilvl w:val="0"/>
          <w:numId w:val="2"/>
        </w:numPr>
      </w:pPr>
      <w:r w:rsidRPr="00F63CD9">
        <w:rPr>
          <w:b/>
        </w:rPr>
        <w:t>Land Disturbance Rule</w:t>
      </w:r>
      <w:r w:rsidR="0073286F" w:rsidRPr="00F63CD9">
        <w:rPr>
          <w:b/>
        </w:rPr>
        <w:t xml:space="preserve"> </w:t>
      </w:r>
      <w:r w:rsidR="00680E40" w:rsidRPr="00F63CD9">
        <w:rPr>
          <w:b/>
        </w:rPr>
        <w:t>Options</w:t>
      </w:r>
      <w:r w:rsidR="00680E40">
        <w:t xml:space="preserve"> </w:t>
      </w:r>
      <w:r w:rsidR="0072760C">
        <w:br/>
      </w:r>
    </w:p>
    <w:p w:rsidR="00F54214" w:rsidRPr="00C10F1F" w:rsidRDefault="0072760C" w:rsidP="0073286F">
      <w:pPr>
        <w:pStyle w:val="ListParagraph"/>
        <w:numPr>
          <w:ilvl w:val="1"/>
          <w:numId w:val="2"/>
        </w:numPr>
        <w:ind w:left="1800"/>
        <w:rPr>
          <w:b/>
        </w:rPr>
      </w:pPr>
      <w:r>
        <w:rPr>
          <w:i/>
        </w:rPr>
        <w:t>Option #</w:t>
      </w:r>
      <w:r w:rsidR="00C10F1F">
        <w:rPr>
          <w:i/>
        </w:rPr>
        <w:t xml:space="preserve">1 (Recommended): </w:t>
      </w:r>
      <w:r w:rsidR="0073286F">
        <w:rPr>
          <w:i/>
        </w:rPr>
        <w:t xml:space="preserve"> </w:t>
      </w:r>
      <w:r w:rsidR="00765556">
        <w:rPr>
          <w:i/>
        </w:rPr>
        <w:t xml:space="preserve">Add </w:t>
      </w:r>
      <w:r w:rsidR="00BA57BF">
        <w:rPr>
          <w:i/>
        </w:rPr>
        <w:t>provision</w:t>
      </w:r>
      <w:r w:rsidR="00765556">
        <w:rPr>
          <w:i/>
        </w:rPr>
        <w:t xml:space="preserve"> </w:t>
      </w:r>
      <w:r w:rsidR="0034643F">
        <w:rPr>
          <w:i/>
        </w:rPr>
        <w:t xml:space="preserve">to all the NSW Dew Development </w:t>
      </w:r>
      <w:proofErr w:type="spellStart"/>
      <w:r w:rsidR="0034643F">
        <w:rPr>
          <w:i/>
        </w:rPr>
        <w:t>Stormwater</w:t>
      </w:r>
      <w:proofErr w:type="spellEnd"/>
      <w:r w:rsidR="0034643F">
        <w:rPr>
          <w:i/>
        </w:rPr>
        <w:t xml:space="preserve"> rules (Neuse, Tar-Pam, Falls, Jordan)</w:t>
      </w:r>
      <w:r w:rsidR="00BA57BF">
        <w:rPr>
          <w:i/>
        </w:rPr>
        <w:t xml:space="preserve"> </w:t>
      </w:r>
      <w:r w:rsidR="00765556">
        <w:rPr>
          <w:i/>
        </w:rPr>
        <w:t xml:space="preserve">that </w:t>
      </w:r>
      <w:r w:rsidR="00550FE1">
        <w:rPr>
          <w:i/>
        </w:rPr>
        <w:t xml:space="preserve">a </w:t>
      </w:r>
      <w:r w:rsidR="00B6372B">
        <w:rPr>
          <w:i/>
        </w:rPr>
        <w:t xml:space="preserve">single family </w:t>
      </w:r>
      <w:r w:rsidR="00C10F1F">
        <w:rPr>
          <w:i/>
        </w:rPr>
        <w:t xml:space="preserve">residential </w:t>
      </w:r>
      <w:r w:rsidR="00550FE1">
        <w:rPr>
          <w:i/>
        </w:rPr>
        <w:t xml:space="preserve">project on a lot of record of </w:t>
      </w:r>
      <w:r w:rsidR="00C10F1F">
        <w:rPr>
          <w:i/>
        </w:rPr>
        <w:t>3 acres or more</w:t>
      </w:r>
      <w:r w:rsidR="00550FE1">
        <w:rPr>
          <w:i/>
        </w:rPr>
        <w:t xml:space="preserve"> </w:t>
      </w:r>
      <w:r w:rsidR="00B6372B">
        <w:rPr>
          <w:i/>
        </w:rPr>
        <w:t xml:space="preserve">in size </w:t>
      </w:r>
      <w:r w:rsidR="00550FE1">
        <w:rPr>
          <w:i/>
        </w:rPr>
        <w:t xml:space="preserve">meeting specific </w:t>
      </w:r>
      <w:r w:rsidR="00C10F1F">
        <w:rPr>
          <w:i/>
        </w:rPr>
        <w:t xml:space="preserve">impact minimization </w:t>
      </w:r>
      <w:r w:rsidR="00550FE1">
        <w:rPr>
          <w:i/>
        </w:rPr>
        <w:t>criteria is</w:t>
      </w:r>
      <w:r w:rsidR="00F54214">
        <w:rPr>
          <w:i/>
        </w:rPr>
        <w:t xml:space="preserve"> considered in compliance with the nutrient targets and no </w:t>
      </w:r>
      <w:proofErr w:type="spellStart"/>
      <w:r>
        <w:rPr>
          <w:i/>
        </w:rPr>
        <w:t>stormwater</w:t>
      </w:r>
      <w:proofErr w:type="spellEnd"/>
      <w:r>
        <w:rPr>
          <w:i/>
        </w:rPr>
        <w:t xml:space="preserve"> management plan is needed</w:t>
      </w:r>
      <w:r w:rsidR="00F54214">
        <w:rPr>
          <w:i/>
        </w:rPr>
        <w:t>.</w:t>
      </w:r>
    </w:p>
    <w:p w:rsidR="00C10F1F" w:rsidRPr="00C10F1F" w:rsidRDefault="00C10F1F" w:rsidP="00C10F1F">
      <w:pPr>
        <w:pStyle w:val="ListParagraph"/>
        <w:ind w:left="1800"/>
        <w:rPr>
          <w:b/>
        </w:rPr>
      </w:pPr>
    </w:p>
    <w:p w:rsidR="00765556" w:rsidRPr="00C10F1F" w:rsidRDefault="00C10F1F" w:rsidP="00C10F1F">
      <w:pPr>
        <w:pStyle w:val="ListParagraph"/>
        <w:numPr>
          <w:ilvl w:val="1"/>
          <w:numId w:val="2"/>
        </w:numPr>
        <w:ind w:left="1800"/>
      </w:pPr>
      <w:r>
        <w:t>Option #</w:t>
      </w:r>
      <w:r>
        <w:t>2 (Not recommended):</w:t>
      </w:r>
      <w:r>
        <w:t xml:space="preserve"> </w:t>
      </w:r>
      <w:r w:rsidRPr="0073286F">
        <w:rPr>
          <w:i/>
        </w:rPr>
        <w:t xml:space="preserve">Raise </w:t>
      </w:r>
      <w:r>
        <w:rPr>
          <w:i/>
        </w:rPr>
        <w:t xml:space="preserve">Falls New D. </w:t>
      </w:r>
      <w:r w:rsidRPr="0073286F">
        <w:rPr>
          <w:i/>
        </w:rPr>
        <w:t>land disturbance threshold</w:t>
      </w:r>
      <w:r>
        <w:rPr>
          <w:i/>
        </w:rPr>
        <w:t xml:space="preserve"> for residential</w:t>
      </w:r>
      <w:r>
        <w:rPr>
          <w:i/>
        </w:rPr>
        <w:t xml:space="preserve"> </w:t>
      </w:r>
      <w:r w:rsidRPr="0073286F">
        <w:t xml:space="preserve">Raise the land disturbance threshold from ½ acre to 1 acre to be consistent </w:t>
      </w:r>
      <w:r>
        <w:t>with Neuse, Tar-Pam, and Jordan New Development rules.</w:t>
      </w:r>
      <w:r>
        <w:br/>
      </w:r>
    </w:p>
    <w:p w:rsidR="00C10F1F" w:rsidRDefault="0072760C" w:rsidP="00F63CD9">
      <w:pPr>
        <w:pStyle w:val="ListParagraph"/>
        <w:numPr>
          <w:ilvl w:val="0"/>
          <w:numId w:val="2"/>
        </w:numPr>
        <w:rPr>
          <w:b/>
        </w:rPr>
      </w:pPr>
      <w:r>
        <w:rPr>
          <w:b/>
        </w:rPr>
        <w:t>Draft Proposed Land D</w:t>
      </w:r>
      <w:r w:rsidR="00F63CD9">
        <w:rPr>
          <w:b/>
        </w:rPr>
        <w:t>isturbance Rule language</w:t>
      </w:r>
      <w:r w:rsidR="000B2872">
        <w:rPr>
          <w:b/>
        </w:rPr>
        <w:t xml:space="preserve"> </w:t>
      </w:r>
    </w:p>
    <w:p w:rsidR="00F54214" w:rsidRPr="00B6372B" w:rsidRDefault="00C10F1F" w:rsidP="00C10F1F">
      <w:pPr>
        <w:pStyle w:val="ListParagraph"/>
      </w:pPr>
      <w:r w:rsidRPr="00B6372B">
        <w:t xml:space="preserve">The </w:t>
      </w:r>
      <w:r w:rsidR="00B6372B" w:rsidRPr="00B6372B">
        <w:t xml:space="preserve">following </w:t>
      </w:r>
      <w:r w:rsidR="00B6372B">
        <w:t>rule language (</w:t>
      </w:r>
      <w:r w:rsidR="00B6372B" w:rsidRPr="00B6372B">
        <w:rPr>
          <w:u w:val="single"/>
        </w:rPr>
        <w:t>underlined</w:t>
      </w:r>
      <w:r w:rsidR="00B6372B">
        <w:t>)</w:t>
      </w:r>
      <w:r w:rsidRPr="00B6372B">
        <w:t xml:space="preserve"> </w:t>
      </w:r>
      <w:r w:rsidR="00B6372B" w:rsidRPr="00B6372B">
        <w:t>is proposed to be inserted in the “Requirements” section of Falls and Jordan New Development Rule as Sub-Item (3</w:t>
      </w:r>
      <w:proofErr w:type="gramStart"/>
      <w:r w:rsidR="00B6372B" w:rsidRPr="00B6372B">
        <w:t>)(</w:t>
      </w:r>
      <w:proofErr w:type="gramEnd"/>
      <w:r w:rsidR="00B6372B" w:rsidRPr="00B6372B">
        <w:t>b) immediately after</w:t>
      </w:r>
      <w:r w:rsidR="00B6372B">
        <w:t xml:space="preserve"> the </w:t>
      </w:r>
      <w:r w:rsidR="00B6372B" w:rsidRPr="00B6372B">
        <w:t>land disturbance language</w:t>
      </w:r>
      <w:r w:rsidR="00B6372B">
        <w:t xml:space="preserve"> in the current rule Sub-Item(3)(a)</w:t>
      </w:r>
      <w:r w:rsidR="00B6372B" w:rsidRPr="00B6372B">
        <w:t>.</w:t>
      </w:r>
      <w:r w:rsidR="001B715A" w:rsidRPr="00B6372B">
        <w:br/>
      </w:r>
    </w:p>
    <w:p w:rsidR="00F63CD9" w:rsidRPr="007C39AA" w:rsidRDefault="00B6372B" w:rsidP="00B6372B">
      <w:pPr>
        <w:pStyle w:val="ListParagraph"/>
        <w:ind w:left="1440" w:hanging="720"/>
        <w:rPr>
          <w:u w:val="single"/>
        </w:rPr>
      </w:pPr>
      <w:r>
        <w:rPr>
          <w:u w:val="single"/>
        </w:rPr>
        <w:lastRenderedPageBreak/>
        <w:t>(3)(b)</w:t>
      </w:r>
      <w:r>
        <w:rPr>
          <w:u w:val="single"/>
        </w:rPr>
        <w:tab/>
      </w:r>
      <w:r w:rsidR="00552F89" w:rsidRPr="007C39AA">
        <w:rPr>
          <w:u w:val="single"/>
        </w:rPr>
        <w:t xml:space="preserve">A </w:t>
      </w:r>
      <w:proofErr w:type="spellStart"/>
      <w:r w:rsidR="00552F89" w:rsidRPr="007C39AA">
        <w:rPr>
          <w:u w:val="single"/>
        </w:rPr>
        <w:t>stormwater</w:t>
      </w:r>
      <w:proofErr w:type="spellEnd"/>
      <w:r w:rsidR="00552F89" w:rsidRPr="007C39AA">
        <w:rPr>
          <w:u w:val="single"/>
        </w:rPr>
        <w:t xml:space="preserve"> management plan is not required</w:t>
      </w:r>
      <w:r>
        <w:rPr>
          <w:u w:val="single"/>
        </w:rPr>
        <w:t xml:space="preserve"> </w:t>
      </w:r>
      <w:r w:rsidR="00552F89" w:rsidRPr="007C39AA">
        <w:rPr>
          <w:u w:val="single"/>
        </w:rPr>
        <w:t xml:space="preserve">for </w:t>
      </w:r>
      <w:r w:rsidR="0073286F" w:rsidRPr="007C39AA">
        <w:rPr>
          <w:u w:val="single"/>
        </w:rPr>
        <w:t xml:space="preserve">a single family residential </w:t>
      </w:r>
      <w:r w:rsidR="00552F89" w:rsidRPr="007C39AA">
        <w:rPr>
          <w:u w:val="single"/>
        </w:rPr>
        <w:t>p</w:t>
      </w:r>
      <w:r w:rsidR="0073286F" w:rsidRPr="007C39AA">
        <w:rPr>
          <w:u w:val="single"/>
        </w:rPr>
        <w:t>roject</w:t>
      </w:r>
      <w:r w:rsidR="00552F89" w:rsidRPr="007C39AA">
        <w:rPr>
          <w:u w:val="single"/>
        </w:rPr>
        <w:t xml:space="preserve"> that </w:t>
      </w:r>
      <w:r w:rsidR="00B11FA1" w:rsidRPr="007C39AA">
        <w:rPr>
          <w:u w:val="single"/>
        </w:rPr>
        <w:t>demonstrate</w:t>
      </w:r>
      <w:r w:rsidR="0073286F" w:rsidRPr="007C39AA">
        <w:rPr>
          <w:u w:val="single"/>
        </w:rPr>
        <w:t>s</w:t>
      </w:r>
      <w:r w:rsidR="00B11FA1" w:rsidRPr="007C39AA">
        <w:rPr>
          <w:u w:val="single"/>
        </w:rPr>
        <w:t xml:space="preserve"> </w:t>
      </w:r>
      <w:r w:rsidR="0073286F" w:rsidRPr="007C39AA">
        <w:rPr>
          <w:u w:val="single"/>
        </w:rPr>
        <w:t>it</w:t>
      </w:r>
      <w:r w:rsidR="00B11FA1" w:rsidRPr="007C39AA">
        <w:rPr>
          <w:u w:val="single"/>
        </w:rPr>
        <w:t xml:space="preserve"> meet</w:t>
      </w:r>
      <w:r w:rsidR="0073286F" w:rsidRPr="007C39AA">
        <w:rPr>
          <w:u w:val="single"/>
        </w:rPr>
        <w:t>s</w:t>
      </w:r>
      <w:r w:rsidR="00B11FA1" w:rsidRPr="007C39AA">
        <w:rPr>
          <w:u w:val="single"/>
        </w:rPr>
        <w:t xml:space="preserve"> the following criteria:</w:t>
      </w:r>
    </w:p>
    <w:p w:rsidR="00552F89" w:rsidRPr="007C39AA" w:rsidRDefault="00552F89" w:rsidP="00F63CD9">
      <w:pPr>
        <w:pStyle w:val="ListParagraph"/>
        <w:ind w:left="1080"/>
        <w:rPr>
          <w:u w:val="single"/>
        </w:rPr>
      </w:pPr>
    </w:p>
    <w:p w:rsidR="00550FE1" w:rsidRDefault="0039490F" w:rsidP="00B6372B">
      <w:pPr>
        <w:pStyle w:val="ListParagraph"/>
        <w:ind w:left="1080" w:firstLine="360"/>
        <w:rPr>
          <w:u w:val="single"/>
        </w:rPr>
      </w:pPr>
      <w:r w:rsidRPr="007C39AA">
        <w:rPr>
          <w:u w:val="single"/>
        </w:rPr>
        <w:t>(</w:t>
      </w:r>
      <w:proofErr w:type="spellStart"/>
      <w:r w:rsidRPr="007C39AA">
        <w:rPr>
          <w:u w:val="single"/>
        </w:rPr>
        <w:t>i</w:t>
      </w:r>
      <w:proofErr w:type="spellEnd"/>
      <w:r w:rsidR="00B11FA1" w:rsidRPr="007C39AA">
        <w:rPr>
          <w:u w:val="single"/>
        </w:rPr>
        <w:t xml:space="preserve">) </w:t>
      </w:r>
      <w:r w:rsidR="0072760C">
        <w:rPr>
          <w:u w:val="single"/>
        </w:rPr>
        <w:t>Development</w:t>
      </w:r>
      <w:r w:rsidR="00F63CD9" w:rsidRPr="007C39AA">
        <w:rPr>
          <w:u w:val="single"/>
        </w:rPr>
        <w:t xml:space="preserve"> is</w:t>
      </w:r>
      <w:r w:rsidR="001B715A" w:rsidRPr="007C39AA">
        <w:rPr>
          <w:u w:val="single"/>
        </w:rPr>
        <w:t xml:space="preserve"> l</w:t>
      </w:r>
      <w:r w:rsidR="00B11FA1" w:rsidRPr="007C39AA">
        <w:rPr>
          <w:u w:val="single"/>
        </w:rPr>
        <w:t>ocated on a</w:t>
      </w:r>
      <w:r w:rsidR="007C39AA" w:rsidRPr="007C39AA">
        <w:rPr>
          <w:u w:val="single"/>
        </w:rPr>
        <w:t xml:space="preserve"> single</w:t>
      </w:r>
      <w:r w:rsidR="00B11FA1" w:rsidRPr="007C39AA">
        <w:rPr>
          <w:u w:val="single"/>
        </w:rPr>
        <w:t xml:space="preserve"> </w:t>
      </w:r>
      <w:r w:rsidR="00F63CD9" w:rsidRPr="007C39AA">
        <w:rPr>
          <w:u w:val="single"/>
        </w:rPr>
        <w:t>lot</w:t>
      </w:r>
      <w:r w:rsidR="007C39AA" w:rsidRPr="007C39AA">
        <w:rPr>
          <w:u w:val="single"/>
        </w:rPr>
        <w:t xml:space="preserve"> of record</w:t>
      </w:r>
      <w:r w:rsidR="00F63CD9" w:rsidRPr="007C39AA">
        <w:rPr>
          <w:u w:val="single"/>
        </w:rPr>
        <w:t xml:space="preserve"> at least </w:t>
      </w:r>
      <w:r w:rsidR="0072760C">
        <w:rPr>
          <w:u w:val="single"/>
        </w:rPr>
        <w:t>3</w:t>
      </w:r>
      <w:r w:rsidR="00F63CD9" w:rsidRPr="007C39AA">
        <w:rPr>
          <w:u w:val="single"/>
        </w:rPr>
        <w:t xml:space="preserve"> acres in size</w:t>
      </w:r>
      <w:r w:rsidR="00550FE1">
        <w:rPr>
          <w:u w:val="single"/>
        </w:rPr>
        <w:t>;</w:t>
      </w:r>
    </w:p>
    <w:p w:rsidR="00B11FA1" w:rsidRPr="007C39AA" w:rsidRDefault="00B11FA1" w:rsidP="00B6372B">
      <w:pPr>
        <w:pStyle w:val="ListParagraph"/>
        <w:ind w:left="1440"/>
        <w:rPr>
          <w:u w:val="single"/>
        </w:rPr>
      </w:pPr>
      <w:r w:rsidRPr="007C39AA">
        <w:rPr>
          <w:u w:val="single"/>
        </w:rPr>
        <w:t>(</w:t>
      </w:r>
      <w:r w:rsidR="0039490F" w:rsidRPr="007C39AA">
        <w:rPr>
          <w:u w:val="single"/>
        </w:rPr>
        <w:t>ii</w:t>
      </w:r>
      <w:r w:rsidRPr="007C39AA">
        <w:rPr>
          <w:u w:val="single"/>
        </w:rPr>
        <w:t xml:space="preserve">) </w:t>
      </w:r>
      <w:r w:rsidR="007C39AA" w:rsidRPr="007C39AA">
        <w:rPr>
          <w:u w:val="single"/>
        </w:rPr>
        <w:t xml:space="preserve">Site design minimizes </w:t>
      </w:r>
      <w:r w:rsidR="00B6372B">
        <w:rPr>
          <w:u w:val="single"/>
        </w:rPr>
        <w:t xml:space="preserve">concentrated </w:t>
      </w:r>
      <w:proofErr w:type="spellStart"/>
      <w:r w:rsidR="007C39AA" w:rsidRPr="007C39AA">
        <w:rPr>
          <w:u w:val="single"/>
        </w:rPr>
        <w:t>stormwater</w:t>
      </w:r>
      <w:proofErr w:type="spellEnd"/>
      <w:r w:rsidR="007C39AA" w:rsidRPr="007C39AA">
        <w:rPr>
          <w:u w:val="single"/>
        </w:rPr>
        <w:t xml:space="preserve"> runoff and maximizes sheet flow through vegetated areas;</w:t>
      </w:r>
      <w:r w:rsidR="00B6372B">
        <w:rPr>
          <w:u w:val="single"/>
        </w:rPr>
        <w:t xml:space="preserve"> and</w:t>
      </w:r>
    </w:p>
    <w:p w:rsidR="00B11FA1" w:rsidRPr="007C39AA" w:rsidRDefault="00B11FA1" w:rsidP="00B6372B">
      <w:pPr>
        <w:pStyle w:val="ListParagraph"/>
        <w:ind w:left="1440"/>
        <w:rPr>
          <w:u w:val="single"/>
        </w:rPr>
      </w:pPr>
      <w:r w:rsidRPr="007C39AA">
        <w:rPr>
          <w:u w:val="single"/>
        </w:rPr>
        <w:t>(</w:t>
      </w:r>
      <w:r w:rsidR="00B6372B">
        <w:rPr>
          <w:u w:val="single"/>
        </w:rPr>
        <w:t>iii</w:t>
      </w:r>
      <w:r w:rsidR="00F63CD9" w:rsidRPr="007C39AA">
        <w:rPr>
          <w:u w:val="single"/>
        </w:rPr>
        <w:t>) I</w:t>
      </w:r>
      <w:r w:rsidRPr="007C39AA">
        <w:rPr>
          <w:u w:val="single"/>
        </w:rPr>
        <w:t>mpervious area</w:t>
      </w:r>
      <w:r w:rsidR="00F63CD9" w:rsidRPr="007C39AA">
        <w:rPr>
          <w:u w:val="single"/>
        </w:rPr>
        <w:t xml:space="preserve"> is minimized</w:t>
      </w:r>
      <w:r w:rsidR="00B6372B">
        <w:rPr>
          <w:u w:val="single"/>
        </w:rPr>
        <w:t xml:space="preserve"> </w:t>
      </w:r>
      <w:r w:rsidR="007C39AA" w:rsidRPr="007C39AA">
        <w:rPr>
          <w:u w:val="single"/>
        </w:rPr>
        <w:t>and</w:t>
      </w:r>
      <w:r w:rsidR="00B6372B">
        <w:rPr>
          <w:u w:val="single"/>
        </w:rPr>
        <w:t xml:space="preserve"> </w:t>
      </w:r>
      <w:r w:rsidR="00B6372B" w:rsidRPr="007C39AA">
        <w:rPr>
          <w:u w:val="single"/>
        </w:rPr>
        <w:t xml:space="preserve">located away from surface waters and drainage ways to the </w:t>
      </w:r>
      <w:r w:rsidR="00B6372B">
        <w:rPr>
          <w:u w:val="single"/>
        </w:rPr>
        <w:t>maximum extent practicable.</w:t>
      </w:r>
    </w:p>
    <w:p w:rsidR="000C02DB" w:rsidRDefault="000C02DB" w:rsidP="001B715A">
      <w:pPr>
        <w:pStyle w:val="ListParagraph"/>
        <w:ind w:left="2160"/>
        <w:rPr>
          <w:u w:val="single"/>
        </w:rPr>
      </w:pPr>
    </w:p>
    <w:p w:rsidR="000C02DB" w:rsidRPr="0034643F" w:rsidRDefault="000C02DB" w:rsidP="000C02DB">
      <w:pPr>
        <w:pStyle w:val="ListParagraph"/>
        <w:ind w:left="360"/>
        <w:rPr>
          <w:sz w:val="28"/>
          <w:szCs w:val="28"/>
          <w:u w:val="single"/>
        </w:rPr>
      </w:pPr>
      <w:r w:rsidRPr="0034643F">
        <w:rPr>
          <w:sz w:val="28"/>
          <w:szCs w:val="28"/>
          <w:u w:val="single"/>
        </w:rPr>
        <w:t>Land Disturbance Example Calculations Using JFSAT V. 3.1</w:t>
      </w:r>
    </w:p>
    <w:p w:rsidR="0034643F" w:rsidRDefault="0034643F" w:rsidP="000C02DB">
      <w:pPr>
        <w:pStyle w:val="ListParagraph"/>
        <w:ind w:left="360"/>
        <w:rPr>
          <w:u w:val="single"/>
        </w:rPr>
      </w:pPr>
    </w:p>
    <w:tbl>
      <w:tblPr>
        <w:tblStyle w:val="TableGrid"/>
        <w:tblW w:w="0" w:type="auto"/>
        <w:tblInd w:w="360" w:type="dxa"/>
        <w:tblLook w:val="04A0" w:firstRow="1" w:lastRow="0" w:firstColumn="1" w:lastColumn="0" w:noHBand="0" w:noVBand="1"/>
      </w:tblPr>
      <w:tblGrid>
        <w:gridCol w:w="954"/>
        <w:gridCol w:w="990"/>
        <w:gridCol w:w="1133"/>
        <w:gridCol w:w="884"/>
        <w:gridCol w:w="1132"/>
        <w:gridCol w:w="1562"/>
        <w:gridCol w:w="1312"/>
        <w:gridCol w:w="1249"/>
      </w:tblGrid>
      <w:tr w:rsidR="0034643F" w:rsidTr="0034643F">
        <w:tc>
          <w:tcPr>
            <w:tcW w:w="954" w:type="dxa"/>
          </w:tcPr>
          <w:p w:rsidR="0034643F" w:rsidRPr="000C02DB" w:rsidRDefault="0034643F" w:rsidP="002330AE">
            <w:pPr>
              <w:pStyle w:val="ListParagraph"/>
              <w:ind w:left="0"/>
              <w:jc w:val="center"/>
              <w:rPr>
                <w:b/>
              </w:rPr>
            </w:pPr>
            <w:r w:rsidRPr="000C02DB">
              <w:rPr>
                <w:b/>
              </w:rPr>
              <w:t>Lot Size</w:t>
            </w:r>
            <w:r>
              <w:rPr>
                <w:b/>
              </w:rPr>
              <w:br/>
              <w:t>(Acres)</w:t>
            </w:r>
          </w:p>
        </w:tc>
        <w:tc>
          <w:tcPr>
            <w:tcW w:w="990" w:type="dxa"/>
          </w:tcPr>
          <w:p w:rsidR="0034643F" w:rsidRPr="000C02DB" w:rsidRDefault="0034643F" w:rsidP="0034643F">
            <w:pPr>
              <w:pStyle w:val="ListParagraph"/>
              <w:ind w:left="0"/>
              <w:jc w:val="center"/>
              <w:rPr>
                <w:b/>
              </w:rPr>
            </w:pPr>
            <w:r>
              <w:rPr>
                <w:b/>
              </w:rPr>
              <w:t>Roof Area</w:t>
            </w:r>
            <w:r>
              <w:rPr>
                <w:b/>
              </w:rPr>
              <w:br/>
              <w:t>(</w:t>
            </w:r>
            <w:proofErr w:type="spellStart"/>
            <w:r>
              <w:rPr>
                <w:b/>
              </w:rPr>
              <w:t>sq</w:t>
            </w:r>
            <w:proofErr w:type="spellEnd"/>
            <w:r>
              <w:rPr>
                <w:b/>
              </w:rPr>
              <w:t>/</w:t>
            </w:r>
            <w:proofErr w:type="spellStart"/>
            <w:r>
              <w:rPr>
                <w:b/>
              </w:rPr>
              <w:t>ft</w:t>
            </w:r>
            <w:proofErr w:type="spellEnd"/>
            <w:r>
              <w:rPr>
                <w:b/>
              </w:rPr>
              <w:t>)</w:t>
            </w:r>
          </w:p>
        </w:tc>
        <w:tc>
          <w:tcPr>
            <w:tcW w:w="1133" w:type="dxa"/>
          </w:tcPr>
          <w:p w:rsidR="0034643F" w:rsidRPr="000C02DB" w:rsidRDefault="0034643F" w:rsidP="002330AE">
            <w:pPr>
              <w:pStyle w:val="ListParagraph"/>
              <w:ind w:left="0"/>
              <w:jc w:val="center"/>
              <w:rPr>
                <w:b/>
              </w:rPr>
            </w:pPr>
            <w:r>
              <w:rPr>
                <w:b/>
              </w:rPr>
              <w:t>Driveway</w:t>
            </w:r>
            <w:r>
              <w:rPr>
                <w:b/>
              </w:rPr>
              <w:br/>
              <w:t>Area</w:t>
            </w:r>
            <w:r>
              <w:rPr>
                <w:b/>
              </w:rPr>
              <w:br/>
              <w:t>(</w:t>
            </w:r>
            <w:proofErr w:type="spellStart"/>
            <w:r>
              <w:rPr>
                <w:b/>
              </w:rPr>
              <w:t>sq</w:t>
            </w:r>
            <w:proofErr w:type="spellEnd"/>
            <w:r>
              <w:rPr>
                <w:b/>
              </w:rPr>
              <w:t>/</w:t>
            </w:r>
            <w:proofErr w:type="spellStart"/>
            <w:r>
              <w:rPr>
                <w:b/>
              </w:rPr>
              <w:t>ft</w:t>
            </w:r>
            <w:proofErr w:type="spellEnd"/>
            <w:r>
              <w:rPr>
                <w:b/>
              </w:rPr>
              <w:t>)</w:t>
            </w:r>
          </w:p>
        </w:tc>
        <w:tc>
          <w:tcPr>
            <w:tcW w:w="884" w:type="dxa"/>
          </w:tcPr>
          <w:p w:rsidR="0034643F" w:rsidRDefault="0034643F" w:rsidP="002330AE">
            <w:pPr>
              <w:pStyle w:val="ListParagraph"/>
              <w:ind w:left="0"/>
              <w:jc w:val="center"/>
              <w:rPr>
                <w:b/>
              </w:rPr>
            </w:pPr>
            <w:r>
              <w:rPr>
                <w:b/>
              </w:rPr>
              <w:t>Patio</w:t>
            </w:r>
            <w:r>
              <w:rPr>
                <w:b/>
              </w:rPr>
              <w:br/>
              <w:t>Area</w:t>
            </w:r>
          </w:p>
          <w:p w:rsidR="0034643F" w:rsidRDefault="0034643F" w:rsidP="002330AE">
            <w:pPr>
              <w:pStyle w:val="ListParagraph"/>
              <w:ind w:left="0"/>
              <w:jc w:val="center"/>
              <w:rPr>
                <w:b/>
              </w:rPr>
            </w:pPr>
            <w:r>
              <w:rPr>
                <w:b/>
              </w:rPr>
              <w:t>(</w:t>
            </w:r>
            <w:proofErr w:type="spellStart"/>
            <w:r>
              <w:rPr>
                <w:b/>
              </w:rPr>
              <w:t>sq</w:t>
            </w:r>
            <w:proofErr w:type="spellEnd"/>
            <w:r>
              <w:rPr>
                <w:b/>
              </w:rPr>
              <w:t>/</w:t>
            </w:r>
            <w:proofErr w:type="spellStart"/>
            <w:r>
              <w:rPr>
                <w:b/>
              </w:rPr>
              <w:t>ft</w:t>
            </w:r>
            <w:proofErr w:type="spellEnd"/>
            <w:r>
              <w:rPr>
                <w:b/>
              </w:rPr>
              <w:t>)</w:t>
            </w:r>
          </w:p>
        </w:tc>
        <w:tc>
          <w:tcPr>
            <w:tcW w:w="1132" w:type="dxa"/>
          </w:tcPr>
          <w:p w:rsidR="0034643F" w:rsidRDefault="0034643F" w:rsidP="002330AE">
            <w:pPr>
              <w:pStyle w:val="ListParagraph"/>
              <w:ind w:left="0"/>
              <w:jc w:val="center"/>
              <w:rPr>
                <w:b/>
              </w:rPr>
            </w:pPr>
            <w:r>
              <w:rPr>
                <w:b/>
              </w:rPr>
              <w:t>Lawn</w:t>
            </w:r>
            <w:r>
              <w:rPr>
                <w:b/>
              </w:rPr>
              <w:br/>
              <w:t>Area</w:t>
            </w:r>
            <w:r>
              <w:rPr>
                <w:b/>
              </w:rPr>
              <w:br/>
              <w:t>(</w:t>
            </w:r>
            <w:proofErr w:type="spellStart"/>
            <w:r>
              <w:rPr>
                <w:b/>
              </w:rPr>
              <w:t>sq</w:t>
            </w:r>
            <w:proofErr w:type="spellEnd"/>
            <w:r>
              <w:rPr>
                <w:b/>
              </w:rPr>
              <w:t>/</w:t>
            </w:r>
            <w:proofErr w:type="spellStart"/>
            <w:r>
              <w:rPr>
                <w:b/>
              </w:rPr>
              <w:t>ft</w:t>
            </w:r>
            <w:proofErr w:type="spellEnd"/>
            <w:r>
              <w:rPr>
                <w:b/>
              </w:rPr>
              <w:t>)</w:t>
            </w:r>
          </w:p>
        </w:tc>
        <w:tc>
          <w:tcPr>
            <w:tcW w:w="1562" w:type="dxa"/>
          </w:tcPr>
          <w:p w:rsidR="0034643F" w:rsidRPr="000C02DB" w:rsidRDefault="0034643F" w:rsidP="002330AE">
            <w:pPr>
              <w:pStyle w:val="ListParagraph"/>
              <w:ind w:left="0"/>
              <w:jc w:val="center"/>
              <w:rPr>
                <w:b/>
              </w:rPr>
            </w:pPr>
            <w:r>
              <w:rPr>
                <w:b/>
              </w:rPr>
              <w:t>TN</w:t>
            </w:r>
            <w:r>
              <w:rPr>
                <w:b/>
              </w:rPr>
              <w:br/>
              <w:t>(</w:t>
            </w:r>
            <w:proofErr w:type="spellStart"/>
            <w:r>
              <w:rPr>
                <w:b/>
              </w:rPr>
              <w:t>lbs</w:t>
            </w:r>
            <w:proofErr w:type="spellEnd"/>
            <w:r>
              <w:rPr>
                <w:b/>
              </w:rPr>
              <w:t>/ac/</w:t>
            </w:r>
            <w:proofErr w:type="spellStart"/>
            <w:r>
              <w:rPr>
                <w:b/>
              </w:rPr>
              <w:t>yr</w:t>
            </w:r>
            <w:proofErr w:type="spellEnd"/>
            <w:r>
              <w:rPr>
                <w:b/>
              </w:rPr>
              <w:t>)</w:t>
            </w:r>
          </w:p>
        </w:tc>
        <w:tc>
          <w:tcPr>
            <w:tcW w:w="1312" w:type="dxa"/>
          </w:tcPr>
          <w:p w:rsidR="0034643F" w:rsidRPr="000C02DB" w:rsidRDefault="0034643F" w:rsidP="002330AE">
            <w:pPr>
              <w:pStyle w:val="ListParagraph"/>
              <w:ind w:left="0"/>
              <w:jc w:val="center"/>
              <w:rPr>
                <w:b/>
              </w:rPr>
            </w:pPr>
            <w:r>
              <w:rPr>
                <w:b/>
              </w:rPr>
              <w:t>TP</w:t>
            </w:r>
            <w:r>
              <w:rPr>
                <w:b/>
              </w:rPr>
              <w:br/>
              <w:t>(</w:t>
            </w:r>
            <w:proofErr w:type="spellStart"/>
            <w:r>
              <w:rPr>
                <w:b/>
              </w:rPr>
              <w:t>lbs</w:t>
            </w:r>
            <w:proofErr w:type="spellEnd"/>
            <w:r>
              <w:rPr>
                <w:b/>
              </w:rPr>
              <w:t>/ac/</w:t>
            </w:r>
            <w:proofErr w:type="spellStart"/>
            <w:r>
              <w:rPr>
                <w:b/>
              </w:rPr>
              <w:t>yr</w:t>
            </w:r>
            <w:proofErr w:type="spellEnd"/>
            <w:r>
              <w:rPr>
                <w:b/>
              </w:rPr>
              <w:t>)</w:t>
            </w:r>
          </w:p>
        </w:tc>
        <w:tc>
          <w:tcPr>
            <w:tcW w:w="1249" w:type="dxa"/>
          </w:tcPr>
          <w:p w:rsidR="0034643F" w:rsidRDefault="0034643F" w:rsidP="002330AE">
            <w:pPr>
              <w:pStyle w:val="ListParagraph"/>
              <w:ind w:left="0"/>
              <w:jc w:val="center"/>
              <w:rPr>
                <w:b/>
              </w:rPr>
            </w:pPr>
            <w:r>
              <w:rPr>
                <w:b/>
              </w:rPr>
              <w:t>% Impervious</w:t>
            </w:r>
          </w:p>
        </w:tc>
      </w:tr>
      <w:tr w:rsidR="0080618B" w:rsidTr="0034643F">
        <w:tc>
          <w:tcPr>
            <w:tcW w:w="954" w:type="dxa"/>
          </w:tcPr>
          <w:p w:rsidR="0080618B" w:rsidRDefault="0080618B" w:rsidP="002330AE">
            <w:pPr>
              <w:pStyle w:val="ListParagraph"/>
              <w:ind w:left="0"/>
              <w:jc w:val="center"/>
            </w:pPr>
            <w:r>
              <w:t>2</w:t>
            </w:r>
          </w:p>
        </w:tc>
        <w:tc>
          <w:tcPr>
            <w:tcW w:w="990" w:type="dxa"/>
          </w:tcPr>
          <w:p w:rsidR="0080618B" w:rsidRDefault="0080618B" w:rsidP="002330AE">
            <w:pPr>
              <w:pStyle w:val="ListParagraph"/>
              <w:ind w:left="0"/>
              <w:jc w:val="center"/>
            </w:pPr>
            <w:r>
              <w:t>1,000</w:t>
            </w:r>
          </w:p>
        </w:tc>
        <w:tc>
          <w:tcPr>
            <w:tcW w:w="1133" w:type="dxa"/>
          </w:tcPr>
          <w:p w:rsidR="0080618B" w:rsidRDefault="0080618B" w:rsidP="002330AE">
            <w:pPr>
              <w:pStyle w:val="ListParagraph"/>
              <w:ind w:left="0"/>
              <w:jc w:val="center"/>
            </w:pPr>
            <w:r>
              <w:t>500</w:t>
            </w:r>
          </w:p>
        </w:tc>
        <w:tc>
          <w:tcPr>
            <w:tcW w:w="884" w:type="dxa"/>
          </w:tcPr>
          <w:p w:rsidR="0080618B" w:rsidRDefault="0080618B" w:rsidP="002330AE">
            <w:pPr>
              <w:pStyle w:val="ListParagraph"/>
              <w:ind w:left="0"/>
              <w:jc w:val="center"/>
            </w:pPr>
            <w:r>
              <w:t>200</w:t>
            </w:r>
          </w:p>
        </w:tc>
        <w:tc>
          <w:tcPr>
            <w:tcW w:w="1132" w:type="dxa"/>
          </w:tcPr>
          <w:p w:rsidR="0080618B" w:rsidRDefault="0080618B" w:rsidP="002330AE">
            <w:pPr>
              <w:pStyle w:val="ListParagraph"/>
              <w:ind w:left="0"/>
              <w:jc w:val="center"/>
            </w:pPr>
            <w:r>
              <w:t>85,420</w:t>
            </w:r>
          </w:p>
        </w:tc>
        <w:tc>
          <w:tcPr>
            <w:tcW w:w="1562" w:type="dxa"/>
          </w:tcPr>
          <w:p w:rsidR="0080618B" w:rsidRPr="00756AD2" w:rsidRDefault="0080618B" w:rsidP="002330AE">
            <w:pPr>
              <w:pStyle w:val="ListParagraph"/>
              <w:ind w:left="0"/>
              <w:jc w:val="center"/>
              <w:rPr>
                <w:b/>
              </w:rPr>
            </w:pPr>
            <w:r w:rsidRPr="00756AD2">
              <w:rPr>
                <w:b/>
              </w:rPr>
              <w:t>1.57</w:t>
            </w:r>
          </w:p>
        </w:tc>
        <w:tc>
          <w:tcPr>
            <w:tcW w:w="1312" w:type="dxa"/>
          </w:tcPr>
          <w:p w:rsidR="0080618B" w:rsidRDefault="0080618B" w:rsidP="002330AE">
            <w:pPr>
              <w:pStyle w:val="ListParagraph"/>
              <w:ind w:left="0"/>
              <w:jc w:val="center"/>
            </w:pPr>
            <w:r>
              <w:t>0.44</w:t>
            </w:r>
          </w:p>
        </w:tc>
        <w:tc>
          <w:tcPr>
            <w:tcW w:w="1249" w:type="dxa"/>
          </w:tcPr>
          <w:p w:rsidR="0080618B" w:rsidRDefault="0080618B" w:rsidP="002330AE">
            <w:pPr>
              <w:pStyle w:val="ListParagraph"/>
              <w:ind w:left="0"/>
              <w:jc w:val="center"/>
            </w:pPr>
            <w:r>
              <w:t>2.0</w:t>
            </w:r>
          </w:p>
        </w:tc>
      </w:tr>
      <w:tr w:rsidR="00A221F7" w:rsidTr="0034643F">
        <w:tc>
          <w:tcPr>
            <w:tcW w:w="954" w:type="dxa"/>
          </w:tcPr>
          <w:p w:rsidR="00A221F7" w:rsidRDefault="00A221F7" w:rsidP="002330AE">
            <w:pPr>
              <w:pStyle w:val="ListParagraph"/>
              <w:ind w:left="0"/>
              <w:jc w:val="center"/>
            </w:pPr>
            <w:r>
              <w:t>2</w:t>
            </w:r>
          </w:p>
        </w:tc>
        <w:tc>
          <w:tcPr>
            <w:tcW w:w="990" w:type="dxa"/>
          </w:tcPr>
          <w:p w:rsidR="00A221F7" w:rsidRDefault="00A221F7" w:rsidP="002330AE">
            <w:pPr>
              <w:pStyle w:val="ListParagraph"/>
              <w:ind w:left="0"/>
              <w:jc w:val="center"/>
            </w:pPr>
            <w:r>
              <w:t>1,500</w:t>
            </w:r>
          </w:p>
        </w:tc>
        <w:tc>
          <w:tcPr>
            <w:tcW w:w="1133" w:type="dxa"/>
          </w:tcPr>
          <w:p w:rsidR="00A221F7" w:rsidRDefault="00A221F7" w:rsidP="002330AE">
            <w:pPr>
              <w:pStyle w:val="ListParagraph"/>
              <w:ind w:left="0"/>
              <w:jc w:val="center"/>
            </w:pPr>
            <w:r>
              <w:t>1,000</w:t>
            </w:r>
          </w:p>
        </w:tc>
        <w:tc>
          <w:tcPr>
            <w:tcW w:w="884" w:type="dxa"/>
          </w:tcPr>
          <w:p w:rsidR="00A221F7" w:rsidRDefault="00A221F7" w:rsidP="002330AE">
            <w:pPr>
              <w:pStyle w:val="ListParagraph"/>
              <w:ind w:left="0"/>
              <w:jc w:val="center"/>
            </w:pPr>
            <w:r>
              <w:t>200</w:t>
            </w:r>
          </w:p>
        </w:tc>
        <w:tc>
          <w:tcPr>
            <w:tcW w:w="1132" w:type="dxa"/>
          </w:tcPr>
          <w:p w:rsidR="00A221F7" w:rsidRDefault="00A221F7" w:rsidP="002330AE">
            <w:pPr>
              <w:pStyle w:val="ListParagraph"/>
              <w:ind w:left="0"/>
              <w:jc w:val="center"/>
            </w:pPr>
            <w:r>
              <w:t>84,420</w:t>
            </w:r>
          </w:p>
        </w:tc>
        <w:tc>
          <w:tcPr>
            <w:tcW w:w="1562" w:type="dxa"/>
          </w:tcPr>
          <w:p w:rsidR="00A221F7" w:rsidRPr="00756AD2" w:rsidRDefault="00A221F7" w:rsidP="002330AE">
            <w:pPr>
              <w:pStyle w:val="ListParagraph"/>
              <w:ind w:left="0"/>
              <w:jc w:val="center"/>
              <w:rPr>
                <w:b/>
              </w:rPr>
            </w:pPr>
            <w:r w:rsidRPr="00756AD2">
              <w:rPr>
                <w:b/>
              </w:rPr>
              <w:t>1.70</w:t>
            </w:r>
          </w:p>
        </w:tc>
        <w:tc>
          <w:tcPr>
            <w:tcW w:w="1312" w:type="dxa"/>
          </w:tcPr>
          <w:p w:rsidR="00A221F7" w:rsidRDefault="00A221F7" w:rsidP="002330AE">
            <w:pPr>
              <w:pStyle w:val="ListParagraph"/>
              <w:ind w:left="0"/>
              <w:jc w:val="center"/>
            </w:pPr>
            <w:r>
              <w:t>0.46</w:t>
            </w:r>
          </w:p>
        </w:tc>
        <w:tc>
          <w:tcPr>
            <w:tcW w:w="1249" w:type="dxa"/>
          </w:tcPr>
          <w:p w:rsidR="00A221F7" w:rsidRDefault="00A221F7" w:rsidP="002330AE">
            <w:pPr>
              <w:pStyle w:val="ListParagraph"/>
              <w:ind w:left="0"/>
              <w:jc w:val="center"/>
            </w:pPr>
            <w:r>
              <w:t>3.1</w:t>
            </w:r>
          </w:p>
        </w:tc>
      </w:tr>
      <w:tr w:rsidR="00A221F7" w:rsidTr="0034643F">
        <w:tc>
          <w:tcPr>
            <w:tcW w:w="954" w:type="dxa"/>
          </w:tcPr>
          <w:p w:rsidR="00A221F7" w:rsidRDefault="00A221F7" w:rsidP="002330AE">
            <w:pPr>
              <w:pStyle w:val="ListParagraph"/>
              <w:ind w:left="0"/>
              <w:jc w:val="center"/>
            </w:pPr>
            <w:r>
              <w:t>2</w:t>
            </w:r>
          </w:p>
        </w:tc>
        <w:tc>
          <w:tcPr>
            <w:tcW w:w="990" w:type="dxa"/>
          </w:tcPr>
          <w:p w:rsidR="00A221F7" w:rsidRDefault="00A221F7" w:rsidP="002330AE">
            <w:pPr>
              <w:pStyle w:val="ListParagraph"/>
              <w:ind w:left="0"/>
              <w:jc w:val="center"/>
            </w:pPr>
            <w:r>
              <w:t>1,500</w:t>
            </w:r>
          </w:p>
        </w:tc>
        <w:tc>
          <w:tcPr>
            <w:tcW w:w="1133" w:type="dxa"/>
          </w:tcPr>
          <w:p w:rsidR="00A221F7" w:rsidRDefault="00A221F7" w:rsidP="002330AE">
            <w:pPr>
              <w:pStyle w:val="ListParagraph"/>
              <w:ind w:left="0"/>
              <w:jc w:val="center"/>
            </w:pPr>
            <w:r>
              <w:t>2,000</w:t>
            </w:r>
          </w:p>
        </w:tc>
        <w:tc>
          <w:tcPr>
            <w:tcW w:w="884" w:type="dxa"/>
          </w:tcPr>
          <w:p w:rsidR="00A221F7" w:rsidRDefault="00A221F7" w:rsidP="002330AE">
            <w:pPr>
              <w:pStyle w:val="ListParagraph"/>
              <w:ind w:left="0"/>
              <w:jc w:val="center"/>
            </w:pPr>
            <w:r>
              <w:t>200</w:t>
            </w:r>
          </w:p>
        </w:tc>
        <w:tc>
          <w:tcPr>
            <w:tcW w:w="1132" w:type="dxa"/>
          </w:tcPr>
          <w:p w:rsidR="00A221F7" w:rsidRDefault="003430DA" w:rsidP="002330AE">
            <w:pPr>
              <w:pStyle w:val="ListParagraph"/>
              <w:ind w:left="0"/>
              <w:jc w:val="center"/>
            </w:pPr>
            <w:r>
              <w:t>83,420</w:t>
            </w:r>
          </w:p>
        </w:tc>
        <w:tc>
          <w:tcPr>
            <w:tcW w:w="1562" w:type="dxa"/>
          </w:tcPr>
          <w:p w:rsidR="00A221F7" w:rsidRPr="00756AD2" w:rsidRDefault="00A221F7" w:rsidP="002330AE">
            <w:pPr>
              <w:pStyle w:val="ListParagraph"/>
              <w:ind w:left="0"/>
              <w:jc w:val="center"/>
              <w:rPr>
                <w:b/>
              </w:rPr>
            </w:pPr>
            <w:r w:rsidRPr="00756AD2">
              <w:rPr>
                <w:b/>
              </w:rPr>
              <w:t>1.84</w:t>
            </w:r>
          </w:p>
        </w:tc>
        <w:tc>
          <w:tcPr>
            <w:tcW w:w="1312" w:type="dxa"/>
          </w:tcPr>
          <w:p w:rsidR="00A221F7" w:rsidRDefault="00A221F7" w:rsidP="002330AE">
            <w:pPr>
              <w:pStyle w:val="ListParagraph"/>
              <w:ind w:left="0"/>
              <w:jc w:val="center"/>
            </w:pPr>
            <w:r>
              <w:t>0.50</w:t>
            </w:r>
          </w:p>
        </w:tc>
        <w:tc>
          <w:tcPr>
            <w:tcW w:w="1249" w:type="dxa"/>
          </w:tcPr>
          <w:p w:rsidR="00A221F7" w:rsidRDefault="00A221F7" w:rsidP="002330AE">
            <w:pPr>
              <w:pStyle w:val="ListParagraph"/>
              <w:ind w:left="0"/>
              <w:jc w:val="center"/>
            </w:pPr>
            <w:r>
              <w:t>4.2</w:t>
            </w:r>
          </w:p>
        </w:tc>
      </w:tr>
      <w:tr w:rsidR="00A221F7" w:rsidTr="0034643F">
        <w:tc>
          <w:tcPr>
            <w:tcW w:w="954" w:type="dxa"/>
          </w:tcPr>
          <w:p w:rsidR="00A221F7" w:rsidRDefault="00A221F7" w:rsidP="002330AE">
            <w:pPr>
              <w:pStyle w:val="ListParagraph"/>
              <w:ind w:left="0"/>
              <w:jc w:val="center"/>
            </w:pPr>
            <w:r>
              <w:t>2</w:t>
            </w:r>
          </w:p>
        </w:tc>
        <w:tc>
          <w:tcPr>
            <w:tcW w:w="990" w:type="dxa"/>
          </w:tcPr>
          <w:p w:rsidR="00A221F7" w:rsidRDefault="00A221F7" w:rsidP="002330AE">
            <w:pPr>
              <w:pStyle w:val="ListParagraph"/>
              <w:ind w:left="0"/>
              <w:jc w:val="center"/>
            </w:pPr>
            <w:r>
              <w:t>2,000</w:t>
            </w:r>
          </w:p>
        </w:tc>
        <w:tc>
          <w:tcPr>
            <w:tcW w:w="1133" w:type="dxa"/>
          </w:tcPr>
          <w:p w:rsidR="00A221F7" w:rsidRDefault="00A221F7" w:rsidP="002330AE">
            <w:pPr>
              <w:pStyle w:val="ListParagraph"/>
              <w:ind w:left="0"/>
              <w:jc w:val="center"/>
            </w:pPr>
            <w:r>
              <w:t>2,000</w:t>
            </w:r>
          </w:p>
        </w:tc>
        <w:tc>
          <w:tcPr>
            <w:tcW w:w="884" w:type="dxa"/>
          </w:tcPr>
          <w:p w:rsidR="00A221F7" w:rsidRDefault="00A221F7" w:rsidP="002330AE">
            <w:pPr>
              <w:pStyle w:val="ListParagraph"/>
              <w:ind w:left="0"/>
              <w:jc w:val="center"/>
            </w:pPr>
            <w:r>
              <w:t>200</w:t>
            </w:r>
          </w:p>
        </w:tc>
        <w:tc>
          <w:tcPr>
            <w:tcW w:w="1132" w:type="dxa"/>
          </w:tcPr>
          <w:p w:rsidR="00A221F7" w:rsidRDefault="003430DA" w:rsidP="002330AE">
            <w:pPr>
              <w:pStyle w:val="ListParagraph"/>
              <w:ind w:left="0"/>
              <w:jc w:val="center"/>
            </w:pPr>
            <w:r>
              <w:t>82,920</w:t>
            </w:r>
          </w:p>
        </w:tc>
        <w:tc>
          <w:tcPr>
            <w:tcW w:w="1562" w:type="dxa"/>
          </w:tcPr>
          <w:p w:rsidR="00A221F7" w:rsidRPr="00756AD2" w:rsidRDefault="003430DA" w:rsidP="002330AE">
            <w:pPr>
              <w:pStyle w:val="ListParagraph"/>
              <w:ind w:left="0"/>
              <w:jc w:val="center"/>
              <w:rPr>
                <w:b/>
              </w:rPr>
            </w:pPr>
            <w:r w:rsidRPr="00756AD2">
              <w:rPr>
                <w:b/>
              </w:rPr>
              <w:t>1.90</w:t>
            </w:r>
          </w:p>
        </w:tc>
        <w:tc>
          <w:tcPr>
            <w:tcW w:w="1312" w:type="dxa"/>
          </w:tcPr>
          <w:p w:rsidR="00A221F7" w:rsidRDefault="003430DA" w:rsidP="002330AE">
            <w:pPr>
              <w:pStyle w:val="ListParagraph"/>
              <w:ind w:left="0"/>
              <w:jc w:val="center"/>
            </w:pPr>
            <w:r>
              <w:t>0.51</w:t>
            </w:r>
          </w:p>
        </w:tc>
        <w:tc>
          <w:tcPr>
            <w:tcW w:w="1249" w:type="dxa"/>
          </w:tcPr>
          <w:p w:rsidR="00A221F7" w:rsidRDefault="003430DA" w:rsidP="002330AE">
            <w:pPr>
              <w:pStyle w:val="ListParagraph"/>
              <w:ind w:left="0"/>
              <w:jc w:val="center"/>
            </w:pPr>
            <w:r>
              <w:t>4.8</w:t>
            </w:r>
          </w:p>
        </w:tc>
      </w:tr>
      <w:tr w:rsidR="003430DA" w:rsidTr="0034643F">
        <w:tc>
          <w:tcPr>
            <w:tcW w:w="954" w:type="dxa"/>
          </w:tcPr>
          <w:p w:rsidR="003430DA" w:rsidRDefault="003430DA" w:rsidP="002330AE">
            <w:pPr>
              <w:pStyle w:val="ListParagraph"/>
              <w:ind w:left="0"/>
              <w:jc w:val="center"/>
            </w:pPr>
            <w:r>
              <w:t>2</w:t>
            </w:r>
          </w:p>
        </w:tc>
        <w:tc>
          <w:tcPr>
            <w:tcW w:w="990" w:type="dxa"/>
          </w:tcPr>
          <w:p w:rsidR="003430DA" w:rsidRDefault="003430DA" w:rsidP="002330AE">
            <w:pPr>
              <w:pStyle w:val="ListParagraph"/>
              <w:ind w:left="0"/>
              <w:jc w:val="center"/>
            </w:pPr>
            <w:r>
              <w:t>2,000</w:t>
            </w:r>
          </w:p>
        </w:tc>
        <w:tc>
          <w:tcPr>
            <w:tcW w:w="1133" w:type="dxa"/>
          </w:tcPr>
          <w:p w:rsidR="003430DA" w:rsidRDefault="003430DA" w:rsidP="002330AE">
            <w:pPr>
              <w:pStyle w:val="ListParagraph"/>
              <w:ind w:left="0"/>
              <w:jc w:val="center"/>
            </w:pPr>
            <w:r>
              <w:t>2,000</w:t>
            </w:r>
          </w:p>
        </w:tc>
        <w:tc>
          <w:tcPr>
            <w:tcW w:w="884" w:type="dxa"/>
          </w:tcPr>
          <w:p w:rsidR="003430DA" w:rsidRDefault="003430DA" w:rsidP="002330AE">
            <w:pPr>
              <w:pStyle w:val="ListParagraph"/>
              <w:ind w:left="0"/>
              <w:jc w:val="center"/>
            </w:pPr>
            <w:r>
              <w:t>500</w:t>
            </w:r>
          </w:p>
        </w:tc>
        <w:tc>
          <w:tcPr>
            <w:tcW w:w="1132" w:type="dxa"/>
          </w:tcPr>
          <w:p w:rsidR="003430DA" w:rsidRDefault="003430DA" w:rsidP="002330AE">
            <w:pPr>
              <w:pStyle w:val="ListParagraph"/>
              <w:ind w:left="0"/>
              <w:jc w:val="center"/>
            </w:pPr>
            <w:r>
              <w:t>82,620</w:t>
            </w:r>
          </w:p>
        </w:tc>
        <w:tc>
          <w:tcPr>
            <w:tcW w:w="1562" w:type="dxa"/>
          </w:tcPr>
          <w:p w:rsidR="003430DA" w:rsidRPr="00756AD2" w:rsidRDefault="003430DA" w:rsidP="002330AE">
            <w:pPr>
              <w:pStyle w:val="ListParagraph"/>
              <w:ind w:left="0"/>
              <w:jc w:val="center"/>
              <w:rPr>
                <w:b/>
              </w:rPr>
            </w:pPr>
            <w:r w:rsidRPr="00756AD2">
              <w:rPr>
                <w:b/>
              </w:rPr>
              <w:t>1.94</w:t>
            </w:r>
          </w:p>
        </w:tc>
        <w:tc>
          <w:tcPr>
            <w:tcW w:w="1312" w:type="dxa"/>
          </w:tcPr>
          <w:p w:rsidR="003430DA" w:rsidRDefault="003430DA" w:rsidP="002330AE">
            <w:pPr>
              <w:pStyle w:val="ListParagraph"/>
              <w:ind w:left="0"/>
              <w:jc w:val="center"/>
            </w:pPr>
            <w:r>
              <w:t>0.55</w:t>
            </w:r>
          </w:p>
        </w:tc>
        <w:tc>
          <w:tcPr>
            <w:tcW w:w="1249" w:type="dxa"/>
          </w:tcPr>
          <w:p w:rsidR="003430DA" w:rsidRDefault="003430DA" w:rsidP="002330AE">
            <w:pPr>
              <w:pStyle w:val="ListParagraph"/>
              <w:ind w:left="0"/>
              <w:jc w:val="center"/>
            </w:pPr>
            <w:r>
              <w:t>5.2</w:t>
            </w:r>
          </w:p>
        </w:tc>
      </w:tr>
      <w:tr w:rsidR="003430DA" w:rsidTr="0034643F">
        <w:tc>
          <w:tcPr>
            <w:tcW w:w="954" w:type="dxa"/>
          </w:tcPr>
          <w:p w:rsidR="003430DA" w:rsidRDefault="003430DA" w:rsidP="002330AE">
            <w:pPr>
              <w:pStyle w:val="ListParagraph"/>
              <w:ind w:left="0"/>
              <w:jc w:val="center"/>
            </w:pPr>
            <w:r>
              <w:t>2</w:t>
            </w:r>
          </w:p>
        </w:tc>
        <w:tc>
          <w:tcPr>
            <w:tcW w:w="990" w:type="dxa"/>
          </w:tcPr>
          <w:p w:rsidR="003430DA" w:rsidRDefault="003430DA" w:rsidP="002330AE">
            <w:pPr>
              <w:pStyle w:val="ListParagraph"/>
              <w:ind w:left="0"/>
              <w:jc w:val="center"/>
            </w:pPr>
            <w:r>
              <w:t>2,000</w:t>
            </w:r>
          </w:p>
        </w:tc>
        <w:tc>
          <w:tcPr>
            <w:tcW w:w="1133" w:type="dxa"/>
          </w:tcPr>
          <w:p w:rsidR="003430DA" w:rsidRDefault="003430DA" w:rsidP="002330AE">
            <w:pPr>
              <w:pStyle w:val="ListParagraph"/>
              <w:ind w:left="0"/>
              <w:jc w:val="center"/>
            </w:pPr>
            <w:r>
              <w:t>2,000</w:t>
            </w:r>
          </w:p>
        </w:tc>
        <w:tc>
          <w:tcPr>
            <w:tcW w:w="884" w:type="dxa"/>
          </w:tcPr>
          <w:p w:rsidR="003430DA" w:rsidRDefault="003430DA" w:rsidP="002330AE">
            <w:pPr>
              <w:pStyle w:val="ListParagraph"/>
              <w:ind w:left="0"/>
              <w:jc w:val="center"/>
            </w:pPr>
            <w:r>
              <w:t>750</w:t>
            </w:r>
          </w:p>
        </w:tc>
        <w:tc>
          <w:tcPr>
            <w:tcW w:w="1132" w:type="dxa"/>
          </w:tcPr>
          <w:p w:rsidR="003430DA" w:rsidRDefault="003430DA" w:rsidP="002330AE">
            <w:pPr>
              <w:pStyle w:val="ListParagraph"/>
              <w:ind w:left="0"/>
              <w:jc w:val="center"/>
            </w:pPr>
            <w:r>
              <w:t>82,370</w:t>
            </w:r>
          </w:p>
        </w:tc>
        <w:tc>
          <w:tcPr>
            <w:tcW w:w="1562" w:type="dxa"/>
          </w:tcPr>
          <w:p w:rsidR="003430DA" w:rsidRPr="00756AD2" w:rsidRDefault="0080618B" w:rsidP="002330AE">
            <w:pPr>
              <w:pStyle w:val="ListParagraph"/>
              <w:ind w:left="0"/>
              <w:jc w:val="center"/>
              <w:rPr>
                <w:b/>
              </w:rPr>
            </w:pPr>
            <w:r w:rsidRPr="00756AD2">
              <w:rPr>
                <w:b/>
              </w:rPr>
              <w:t>1.97</w:t>
            </w:r>
          </w:p>
        </w:tc>
        <w:tc>
          <w:tcPr>
            <w:tcW w:w="1312" w:type="dxa"/>
          </w:tcPr>
          <w:p w:rsidR="003430DA" w:rsidRDefault="0080618B" w:rsidP="002330AE">
            <w:pPr>
              <w:pStyle w:val="ListParagraph"/>
              <w:ind w:left="0"/>
              <w:jc w:val="center"/>
            </w:pPr>
            <w:r>
              <w:t>0.55</w:t>
            </w:r>
          </w:p>
        </w:tc>
        <w:tc>
          <w:tcPr>
            <w:tcW w:w="1249" w:type="dxa"/>
          </w:tcPr>
          <w:p w:rsidR="003430DA" w:rsidRDefault="0080618B" w:rsidP="002330AE">
            <w:pPr>
              <w:pStyle w:val="ListParagraph"/>
              <w:ind w:left="0"/>
              <w:jc w:val="center"/>
            </w:pPr>
            <w:r>
              <w:t>5.5</w:t>
            </w:r>
          </w:p>
        </w:tc>
      </w:tr>
      <w:tr w:rsidR="0080618B" w:rsidTr="0034643F">
        <w:tc>
          <w:tcPr>
            <w:tcW w:w="954" w:type="dxa"/>
          </w:tcPr>
          <w:p w:rsidR="0080618B" w:rsidRDefault="0080618B" w:rsidP="002330AE">
            <w:pPr>
              <w:pStyle w:val="ListParagraph"/>
              <w:ind w:left="0"/>
              <w:jc w:val="center"/>
            </w:pPr>
            <w:r>
              <w:t>2</w:t>
            </w:r>
          </w:p>
        </w:tc>
        <w:tc>
          <w:tcPr>
            <w:tcW w:w="990" w:type="dxa"/>
          </w:tcPr>
          <w:p w:rsidR="0080618B" w:rsidRDefault="0080618B" w:rsidP="002330AE">
            <w:pPr>
              <w:pStyle w:val="ListParagraph"/>
              <w:ind w:left="0"/>
              <w:jc w:val="center"/>
            </w:pPr>
            <w:r>
              <w:t>3,000</w:t>
            </w:r>
          </w:p>
        </w:tc>
        <w:tc>
          <w:tcPr>
            <w:tcW w:w="1133" w:type="dxa"/>
          </w:tcPr>
          <w:p w:rsidR="0080618B" w:rsidRDefault="0080618B" w:rsidP="002330AE">
            <w:pPr>
              <w:pStyle w:val="ListParagraph"/>
              <w:ind w:left="0"/>
              <w:jc w:val="center"/>
            </w:pPr>
            <w:r>
              <w:t>2,000</w:t>
            </w:r>
          </w:p>
        </w:tc>
        <w:tc>
          <w:tcPr>
            <w:tcW w:w="884" w:type="dxa"/>
          </w:tcPr>
          <w:p w:rsidR="0080618B" w:rsidRDefault="0080618B" w:rsidP="002330AE">
            <w:pPr>
              <w:pStyle w:val="ListParagraph"/>
              <w:ind w:left="0"/>
              <w:jc w:val="center"/>
            </w:pPr>
            <w:r>
              <w:t>750</w:t>
            </w:r>
          </w:p>
        </w:tc>
        <w:tc>
          <w:tcPr>
            <w:tcW w:w="1132" w:type="dxa"/>
          </w:tcPr>
          <w:p w:rsidR="0080618B" w:rsidRDefault="0080618B" w:rsidP="002330AE">
            <w:pPr>
              <w:pStyle w:val="ListParagraph"/>
              <w:ind w:left="0"/>
              <w:jc w:val="center"/>
            </w:pPr>
            <w:r>
              <w:t>81,370</w:t>
            </w:r>
          </w:p>
        </w:tc>
        <w:tc>
          <w:tcPr>
            <w:tcW w:w="1562" w:type="dxa"/>
          </w:tcPr>
          <w:p w:rsidR="0080618B" w:rsidRPr="00756AD2" w:rsidRDefault="0080618B" w:rsidP="002330AE">
            <w:pPr>
              <w:pStyle w:val="ListParagraph"/>
              <w:ind w:left="0"/>
              <w:jc w:val="center"/>
              <w:rPr>
                <w:b/>
              </w:rPr>
            </w:pPr>
            <w:r w:rsidRPr="00756AD2">
              <w:rPr>
                <w:b/>
              </w:rPr>
              <w:t>2.08</w:t>
            </w:r>
          </w:p>
        </w:tc>
        <w:tc>
          <w:tcPr>
            <w:tcW w:w="1312" w:type="dxa"/>
          </w:tcPr>
          <w:p w:rsidR="0080618B" w:rsidRDefault="0080618B" w:rsidP="002330AE">
            <w:pPr>
              <w:pStyle w:val="ListParagraph"/>
              <w:ind w:left="0"/>
              <w:jc w:val="center"/>
            </w:pPr>
            <w:r>
              <w:t>0.59</w:t>
            </w:r>
          </w:p>
        </w:tc>
        <w:tc>
          <w:tcPr>
            <w:tcW w:w="1249" w:type="dxa"/>
          </w:tcPr>
          <w:p w:rsidR="0080618B" w:rsidRDefault="0080618B" w:rsidP="002330AE">
            <w:pPr>
              <w:pStyle w:val="ListParagraph"/>
              <w:ind w:left="0"/>
              <w:jc w:val="center"/>
            </w:pPr>
            <w:r>
              <w:t>6.6</w:t>
            </w:r>
          </w:p>
        </w:tc>
      </w:tr>
      <w:tr w:rsidR="0080618B" w:rsidTr="0034643F">
        <w:tc>
          <w:tcPr>
            <w:tcW w:w="954" w:type="dxa"/>
          </w:tcPr>
          <w:p w:rsidR="0080618B" w:rsidRDefault="0080618B" w:rsidP="002330AE">
            <w:pPr>
              <w:pStyle w:val="ListParagraph"/>
              <w:ind w:left="0"/>
              <w:jc w:val="center"/>
            </w:pPr>
          </w:p>
        </w:tc>
        <w:tc>
          <w:tcPr>
            <w:tcW w:w="990" w:type="dxa"/>
          </w:tcPr>
          <w:p w:rsidR="0080618B" w:rsidRDefault="0080618B" w:rsidP="002330AE">
            <w:pPr>
              <w:pStyle w:val="ListParagraph"/>
              <w:ind w:left="0"/>
              <w:jc w:val="center"/>
            </w:pPr>
          </w:p>
        </w:tc>
        <w:tc>
          <w:tcPr>
            <w:tcW w:w="1133" w:type="dxa"/>
          </w:tcPr>
          <w:p w:rsidR="0080618B" w:rsidRDefault="0080618B" w:rsidP="002330AE">
            <w:pPr>
              <w:pStyle w:val="ListParagraph"/>
              <w:ind w:left="0"/>
              <w:jc w:val="center"/>
            </w:pPr>
          </w:p>
        </w:tc>
        <w:tc>
          <w:tcPr>
            <w:tcW w:w="884" w:type="dxa"/>
          </w:tcPr>
          <w:p w:rsidR="0080618B" w:rsidRDefault="0080618B" w:rsidP="002330AE">
            <w:pPr>
              <w:pStyle w:val="ListParagraph"/>
              <w:ind w:left="0"/>
              <w:jc w:val="center"/>
            </w:pPr>
          </w:p>
        </w:tc>
        <w:tc>
          <w:tcPr>
            <w:tcW w:w="1132" w:type="dxa"/>
          </w:tcPr>
          <w:p w:rsidR="0080618B" w:rsidRDefault="0080618B" w:rsidP="002330AE">
            <w:pPr>
              <w:pStyle w:val="ListParagraph"/>
              <w:ind w:left="0"/>
              <w:jc w:val="center"/>
            </w:pPr>
          </w:p>
        </w:tc>
        <w:tc>
          <w:tcPr>
            <w:tcW w:w="1562" w:type="dxa"/>
          </w:tcPr>
          <w:p w:rsidR="0080618B" w:rsidRPr="00756AD2" w:rsidRDefault="0080618B" w:rsidP="002330AE">
            <w:pPr>
              <w:pStyle w:val="ListParagraph"/>
              <w:ind w:left="0"/>
              <w:jc w:val="center"/>
              <w:rPr>
                <w:b/>
              </w:rPr>
            </w:pPr>
          </w:p>
        </w:tc>
        <w:tc>
          <w:tcPr>
            <w:tcW w:w="1312" w:type="dxa"/>
          </w:tcPr>
          <w:p w:rsidR="0080618B" w:rsidRDefault="0080618B" w:rsidP="002330AE">
            <w:pPr>
              <w:pStyle w:val="ListParagraph"/>
              <w:ind w:left="0"/>
              <w:jc w:val="center"/>
            </w:pPr>
          </w:p>
        </w:tc>
        <w:tc>
          <w:tcPr>
            <w:tcW w:w="1249" w:type="dxa"/>
          </w:tcPr>
          <w:p w:rsidR="0080618B" w:rsidRDefault="0080618B" w:rsidP="002330AE">
            <w:pPr>
              <w:pStyle w:val="ListParagraph"/>
              <w:ind w:left="0"/>
              <w:jc w:val="center"/>
            </w:pPr>
          </w:p>
        </w:tc>
      </w:tr>
      <w:tr w:rsidR="0080618B" w:rsidTr="0034643F">
        <w:tc>
          <w:tcPr>
            <w:tcW w:w="954" w:type="dxa"/>
          </w:tcPr>
          <w:p w:rsidR="0080618B" w:rsidRDefault="0080618B" w:rsidP="002330AE">
            <w:pPr>
              <w:pStyle w:val="ListParagraph"/>
              <w:ind w:left="0"/>
              <w:jc w:val="center"/>
            </w:pPr>
            <w:r>
              <w:t>3</w:t>
            </w:r>
          </w:p>
        </w:tc>
        <w:tc>
          <w:tcPr>
            <w:tcW w:w="990" w:type="dxa"/>
          </w:tcPr>
          <w:p w:rsidR="0080618B" w:rsidRDefault="0080618B" w:rsidP="002330AE">
            <w:pPr>
              <w:pStyle w:val="ListParagraph"/>
              <w:ind w:left="0"/>
              <w:jc w:val="center"/>
            </w:pPr>
            <w:r>
              <w:t>1,000</w:t>
            </w:r>
          </w:p>
        </w:tc>
        <w:tc>
          <w:tcPr>
            <w:tcW w:w="1133" w:type="dxa"/>
          </w:tcPr>
          <w:p w:rsidR="0080618B" w:rsidRDefault="0080618B" w:rsidP="002330AE">
            <w:pPr>
              <w:pStyle w:val="ListParagraph"/>
              <w:ind w:left="0"/>
              <w:jc w:val="center"/>
            </w:pPr>
            <w:r>
              <w:t>500</w:t>
            </w:r>
          </w:p>
        </w:tc>
        <w:tc>
          <w:tcPr>
            <w:tcW w:w="884" w:type="dxa"/>
          </w:tcPr>
          <w:p w:rsidR="0080618B" w:rsidRDefault="0080618B" w:rsidP="002330AE">
            <w:pPr>
              <w:pStyle w:val="ListParagraph"/>
              <w:ind w:left="0"/>
              <w:jc w:val="center"/>
            </w:pPr>
            <w:r>
              <w:t>200</w:t>
            </w:r>
          </w:p>
        </w:tc>
        <w:tc>
          <w:tcPr>
            <w:tcW w:w="1132" w:type="dxa"/>
          </w:tcPr>
          <w:p w:rsidR="0080618B" w:rsidRDefault="0080618B" w:rsidP="002330AE">
            <w:pPr>
              <w:pStyle w:val="ListParagraph"/>
              <w:ind w:left="0"/>
              <w:jc w:val="center"/>
            </w:pPr>
            <w:r>
              <w:t>128,980</w:t>
            </w:r>
          </w:p>
        </w:tc>
        <w:tc>
          <w:tcPr>
            <w:tcW w:w="1562" w:type="dxa"/>
          </w:tcPr>
          <w:p w:rsidR="0080618B" w:rsidRPr="00756AD2" w:rsidRDefault="0080618B" w:rsidP="002330AE">
            <w:pPr>
              <w:pStyle w:val="ListParagraph"/>
              <w:ind w:left="0"/>
              <w:jc w:val="center"/>
              <w:rPr>
                <w:b/>
              </w:rPr>
            </w:pPr>
            <w:r w:rsidRPr="00756AD2">
              <w:rPr>
                <w:b/>
              </w:rPr>
              <w:t>1.50</w:t>
            </w:r>
          </w:p>
        </w:tc>
        <w:tc>
          <w:tcPr>
            <w:tcW w:w="1312" w:type="dxa"/>
          </w:tcPr>
          <w:p w:rsidR="0080618B" w:rsidRDefault="0080618B" w:rsidP="002330AE">
            <w:pPr>
              <w:pStyle w:val="ListParagraph"/>
              <w:ind w:left="0"/>
              <w:jc w:val="center"/>
            </w:pPr>
            <w:r>
              <w:t>0.44</w:t>
            </w:r>
          </w:p>
        </w:tc>
        <w:tc>
          <w:tcPr>
            <w:tcW w:w="1249" w:type="dxa"/>
          </w:tcPr>
          <w:p w:rsidR="0080618B" w:rsidRDefault="0080618B" w:rsidP="002330AE">
            <w:pPr>
              <w:pStyle w:val="ListParagraph"/>
              <w:ind w:left="0"/>
              <w:jc w:val="center"/>
            </w:pPr>
            <w:r>
              <w:t>1.3</w:t>
            </w:r>
          </w:p>
        </w:tc>
      </w:tr>
      <w:tr w:rsidR="0034643F" w:rsidTr="0034643F">
        <w:tc>
          <w:tcPr>
            <w:tcW w:w="954" w:type="dxa"/>
          </w:tcPr>
          <w:p w:rsidR="0034643F" w:rsidRPr="000C02DB" w:rsidRDefault="0034643F" w:rsidP="002330AE">
            <w:pPr>
              <w:pStyle w:val="ListParagraph"/>
              <w:ind w:left="0"/>
              <w:jc w:val="center"/>
            </w:pPr>
            <w:r>
              <w:t>3</w:t>
            </w:r>
          </w:p>
        </w:tc>
        <w:tc>
          <w:tcPr>
            <w:tcW w:w="990" w:type="dxa"/>
          </w:tcPr>
          <w:p w:rsidR="0034643F" w:rsidRDefault="0034643F" w:rsidP="002330AE">
            <w:pPr>
              <w:pStyle w:val="ListParagraph"/>
              <w:ind w:left="0"/>
              <w:jc w:val="center"/>
            </w:pPr>
            <w:r>
              <w:t>1,500</w:t>
            </w:r>
          </w:p>
        </w:tc>
        <w:tc>
          <w:tcPr>
            <w:tcW w:w="1133" w:type="dxa"/>
          </w:tcPr>
          <w:p w:rsidR="0034643F" w:rsidRDefault="0034643F" w:rsidP="002330AE">
            <w:pPr>
              <w:pStyle w:val="ListParagraph"/>
              <w:ind w:left="0"/>
              <w:jc w:val="center"/>
            </w:pPr>
            <w:r>
              <w:t>500</w:t>
            </w:r>
          </w:p>
        </w:tc>
        <w:tc>
          <w:tcPr>
            <w:tcW w:w="884" w:type="dxa"/>
          </w:tcPr>
          <w:p w:rsidR="0034643F" w:rsidRDefault="0034643F" w:rsidP="002330AE">
            <w:pPr>
              <w:pStyle w:val="ListParagraph"/>
              <w:ind w:left="0"/>
              <w:jc w:val="center"/>
            </w:pPr>
            <w:r>
              <w:t>200</w:t>
            </w:r>
          </w:p>
        </w:tc>
        <w:tc>
          <w:tcPr>
            <w:tcW w:w="1132" w:type="dxa"/>
          </w:tcPr>
          <w:p w:rsidR="0034643F" w:rsidRDefault="00F15D28" w:rsidP="002330AE">
            <w:pPr>
              <w:pStyle w:val="ListParagraph"/>
              <w:ind w:left="0"/>
              <w:jc w:val="center"/>
            </w:pPr>
            <w:r>
              <w:t>128,480</w:t>
            </w:r>
          </w:p>
        </w:tc>
        <w:tc>
          <w:tcPr>
            <w:tcW w:w="1562" w:type="dxa"/>
          </w:tcPr>
          <w:p w:rsidR="0034643F" w:rsidRPr="00756AD2" w:rsidRDefault="00F15D28" w:rsidP="002330AE">
            <w:pPr>
              <w:pStyle w:val="ListParagraph"/>
              <w:ind w:left="0"/>
              <w:jc w:val="center"/>
              <w:rPr>
                <w:b/>
              </w:rPr>
            </w:pPr>
            <w:r w:rsidRPr="00756AD2">
              <w:rPr>
                <w:b/>
              </w:rPr>
              <w:t>1.54</w:t>
            </w:r>
          </w:p>
        </w:tc>
        <w:tc>
          <w:tcPr>
            <w:tcW w:w="1312" w:type="dxa"/>
          </w:tcPr>
          <w:p w:rsidR="0034643F" w:rsidRDefault="00F15D28" w:rsidP="002330AE">
            <w:pPr>
              <w:pStyle w:val="ListParagraph"/>
              <w:ind w:left="0"/>
              <w:jc w:val="center"/>
            </w:pPr>
            <w:r>
              <w:t>0.42</w:t>
            </w:r>
          </w:p>
        </w:tc>
        <w:tc>
          <w:tcPr>
            <w:tcW w:w="1249" w:type="dxa"/>
          </w:tcPr>
          <w:p w:rsidR="0034643F" w:rsidRDefault="00F15D28" w:rsidP="002330AE">
            <w:pPr>
              <w:pStyle w:val="ListParagraph"/>
              <w:ind w:left="0"/>
              <w:jc w:val="center"/>
            </w:pPr>
            <w:r>
              <w:t>1.7</w:t>
            </w:r>
          </w:p>
        </w:tc>
      </w:tr>
      <w:tr w:rsidR="004E3267" w:rsidTr="0034643F">
        <w:tc>
          <w:tcPr>
            <w:tcW w:w="954" w:type="dxa"/>
          </w:tcPr>
          <w:p w:rsidR="004E3267" w:rsidRDefault="004E3267" w:rsidP="002330AE">
            <w:pPr>
              <w:pStyle w:val="ListParagraph"/>
              <w:ind w:left="0"/>
              <w:jc w:val="center"/>
            </w:pPr>
            <w:r>
              <w:t>3</w:t>
            </w:r>
          </w:p>
        </w:tc>
        <w:tc>
          <w:tcPr>
            <w:tcW w:w="990" w:type="dxa"/>
          </w:tcPr>
          <w:p w:rsidR="004E3267" w:rsidRDefault="004E3267" w:rsidP="002330AE">
            <w:pPr>
              <w:pStyle w:val="ListParagraph"/>
              <w:ind w:left="0"/>
              <w:jc w:val="center"/>
            </w:pPr>
            <w:r>
              <w:t>1,500</w:t>
            </w:r>
          </w:p>
        </w:tc>
        <w:tc>
          <w:tcPr>
            <w:tcW w:w="1133" w:type="dxa"/>
          </w:tcPr>
          <w:p w:rsidR="004E3267" w:rsidRDefault="00A221F7" w:rsidP="002330AE">
            <w:pPr>
              <w:pStyle w:val="ListParagraph"/>
              <w:ind w:left="0"/>
              <w:jc w:val="center"/>
            </w:pPr>
            <w:r>
              <w:t>3,000</w:t>
            </w:r>
          </w:p>
        </w:tc>
        <w:tc>
          <w:tcPr>
            <w:tcW w:w="884" w:type="dxa"/>
          </w:tcPr>
          <w:p w:rsidR="004E3267" w:rsidRDefault="00A221F7" w:rsidP="002330AE">
            <w:pPr>
              <w:pStyle w:val="ListParagraph"/>
              <w:ind w:left="0"/>
              <w:jc w:val="center"/>
            </w:pPr>
            <w:r>
              <w:t>200</w:t>
            </w:r>
          </w:p>
        </w:tc>
        <w:tc>
          <w:tcPr>
            <w:tcW w:w="1132" w:type="dxa"/>
          </w:tcPr>
          <w:p w:rsidR="004E3267" w:rsidRDefault="00A221F7" w:rsidP="002330AE">
            <w:pPr>
              <w:pStyle w:val="ListParagraph"/>
              <w:ind w:left="0"/>
              <w:jc w:val="center"/>
            </w:pPr>
            <w:r>
              <w:t>125,980</w:t>
            </w:r>
          </w:p>
        </w:tc>
        <w:tc>
          <w:tcPr>
            <w:tcW w:w="1562" w:type="dxa"/>
          </w:tcPr>
          <w:p w:rsidR="004E3267" w:rsidRPr="00756AD2" w:rsidRDefault="00A221F7" w:rsidP="002330AE">
            <w:pPr>
              <w:pStyle w:val="ListParagraph"/>
              <w:ind w:left="0"/>
              <w:jc w:val="center"/>
              <w:rPr>
                <w:b/>
              </w:rPr>
            </w:pPr>
            <w:r w:rsidRPr="00756AD2">
              <w:rPr>
                <w:b/>
              </w:rPr>
              <w:t>1.77</w:t>
            </w:r>
          </w:p>
        </w:tc>
        <w:tc>
          <w:tcPr>
            <w:tcW w:w="1312" w:type="dxa"/>
          </w:tcPr>
          <w:p w:rsidR="004E3267" w:rsidRDefault="00A221F7" w:rsidP="002330AE">
            <w:pPr>
              <w:pStyle w:val="ListParagraph"/>
              <w:ind w:left="0"/>
              <w:jc w:val="center"/>
            </w:pPr>
            <w:r>
              <w:t>0.48</w:t>
            </w:r>
          </w:p>
        </w:tc>
        <w:tc>
          <w:tcPr>
            <w:tcW w:w="1249" w:type="dxa"/>
          </w:tcPr>
          <w:p w:rsidR="004E3267" w:rsidRDefault="003430DA" w:rsidP="002330AE">
            <w:pPr>
              <w:pStyle w:val="ListParagraph"/>
              <w:ind w:left="0"/>
              <w:jc w:val="center"/>
            </w:pPr>
            <w:r>
              <w:t>3.6</w:t>
            </w:r>
          </w:p>
        </w:tc>
      </w:tr>
      <w:tr w:rsidR="0034643F" w:rsidTr="0034643F">
        <w:tc>
          <w:tcPr>
            <w:tcW w:w="954" w:type="dxa"/>
          </w:tcPr>
          <w:p w:rsidR="0034643F" w:rsidRPr="000C02DB" w:rsidRDefault="0034643F" w:rsidP="002330AE">
            <w:pPr>
              <w:pStyle w:val="ListParagraph"/>
              <w:ind w:left="0"/>
              <w:jc w:val="center"/>
            </w:pPr>
            <w:r w:rsidRPr="000C02DB">
              <w:t>3</w:t>
            </w:r>
          </w:p>
        </w:tc>
        <w:tc>
          <w:tcPr>
            <w:tcW w:w="990" w:type="dxa"/>
          </w:tcPr>
          <w:p w:rsidR="0034643F" w:rsidRPr="000C02DB" w:rsidRDefault="0034643F" w:rsidP="002330AE">
            <w:pPr>
              <w:pStyle w:val="ListParagraph"/>
              <w:ind w:left="0"/>
              <w:jc w:val="center"/>
            </w:pPr>
            <w:r>
              <w:t>2,000</w:t>
            </w:r>
          </w:p>
        </w:tc>
        <w:tc>
          <w:tcPr>
            <w:tcW w:w="1133" w:type="dxa"/>
          </w:tcPr>
          <w:p w:rsidR="0034643F" w:rsidRPr="000C02DB" w:rsidRDefault="0034643F" w:rsidP="002330AE">
            <w:pPr>
              <w:pStyle w:val="ListParagraph"/>
              <w:ind w:left="0"/>
              <w:jc w:val="center"/>
            </w:pPr>
            <w:r>
              <w:t>1,000</w:t>
            </w:r>
          </w:p>
        </w:tc>
        <w:tc>
          <w:tcPr>
            <w:tcW w:w="884" w:type="dxa"/>
          </w:tcPr>
          <w:p w:rsidR="0034643F" w:rsidRDefault="0034643F" w:rsidP="002330AE">
            <w:pPr>
              <w:pStyle w:val="ListParagraph"/>
              <w:ind w:left="0"/>
              <w:jc w:val="center"/>
            </w:pPr>
            <w:r>
              <w:t>500</w:t>
            </w:r>
          </w:p>
        </w:tc>
        <w:tc>
          <w:tcPr>
            <w:tcW w:w="1132" w:type="dxa"/>
          </w:tcPr>
          <w:p w:rsidR="0034643F" w:rsidRDefault="00F15D28" w:rsidP="002330AE">
            <w:pPr>
              <w:pStyle w:val="ListParagraph"/>
              <w:ind w:left="0"/>
              <w:jc w:val="center"/>
            </w:pPr>
            <w:r>
              <w:t>127,180</w:t>
            </w:r>
          </w:p>
        </w:tc>
        <w:tc>
          <w:tcPr>
            <w:tcW w:w="1562" w:type="dxa"/>
          </w:tcPr>
          <w:p w:rsidR="0034643F" w:rsidRPr="00756AD2" w:rsidRDefault="00F15D28" w:rsidP="002330AE">
            <w:pPr>
              <w:pStyle w:val="ListParagraph"/>
              <w:ind w:left="0"/>
              <w:jc w:val="center"/>
              <w:rPr>
                <w:b/>
              </w:rPr>
            </w:pPr>
            <w:r w:rsidRPr="00756AD2">
              <w:rPr>
                <w:b/>
              </w:rPr>
              <w:t>1.65</w:t>
            </w:r>
          </w:p>
        </w:tc>
        <w:tc>
          <w:tcPr>
            <w:tcW w:w="1312" w:type="dxa"/>
          </w:tcPr>
          <w:p w:rsidR="0034643F" w:rsidRPr="000C02DB" w:rsidRDefault="00F15D28" w:rsidP="002330AE">
            <w:pPr>
              <w:pStyle w:val="ListParagraph"/>
              <w:ind w:left="0"/>
              <w:jc w:val="center"/>
            </w:pPr>
            <w:r>
              <w:t>0.46</w:t>
            </w:r>
          </w:p>
        </w:tc>
        <w:tc>
          <w:tcPr>
            <w:tcW w:w="1249" w:type="dxa"/>
          </w:tcPr>
          <w:p w:rsidR="0034643F" w:rsidRPr="000C02DB" w:rsidRDefault="00F15D28" w:rsidP="002330AE">
            <w:pPr>
              <w:pStyle w:val="ListParagraph"/>
              <w:ind w:left="0"/>
              <w:jc w:val="center"/>
            </w:pPr>
            <w:r>
              <w:t>2.7</w:t>
            </w:r>
          </w:p>
        </w:tc>
      </w:tr>
      <w:tr w:rsidR="0034643F" w:rsidTr="0034643F">
        <w:tc>
          <w:tcPr>
            <w:tcW w:w="954" w:type="dxa"/>
          </w:tcPr>
          <w:p w:rsidR="0034643F" w:rsidRPr="0034643F" w:rsidRDefault="0034643F" w:rsidP="002330AE">
            <w:pPr>
              <w:pStyle w:val="ListParagraph"/>
              <w:ind w:left="0"/>
              <w:jc w:val="center"/>
            </w:pPr>
            <w:r w:rsidRPr="0034643F">
              <w:t>3</w:t>
            </w:r>
          </w:p>
        </w:tc>
        <w:tc>
          <w:tcPr>
            <w:tcW w:w="990" w:type="dxa"/>
          </w:tcPr>
          <w:p w:rsidR="0034643F" w:rsidRPr="0034643F" w:rsidRDefault="0034643F" w:rsidP="002330AE">
            <w:pPr>
              <w:pStyle w:val="ListParagraph"/>
              <w:ind w:left="0"/>
              <w:jc w:val="center"/>
            </w:pPr>
            <w:r>
              <w:t>3,000</w:t>
            </w:r>
          </w:p>
        </w:tc>
        <w:tc>
          <w:tcPr>
            <w:tcW w:w="1133" w:type="dxa"/>
          </w:tcPr>
          <w:p w:rsidR="0034643F" w:rsidRPr="0034643F" w:rsidRDefault="0034643F" w:rsidP="002330AE">
            <w:pPr>
              <w:pStyle w:val="ListParagraph"/>
              <w:ind w:left="0"/>
              <w:jc w:val="center"/>
            </w:pPr>
            <w:r>
              <w:t>2,000</w:t>
            </w:r>
          </w:p>
        </w:tc>
        <w:tc>
          <w:tcPr>
            <w:tcW w:w="884" w:type="dxa"/>
          </w:tcPr>
          <w:p w:rsidR="0034643F" w:rsidRPr="0034643F" w:rsidRDefault="0034643F" w:rsidP="002330AE">
            <w:pPr>
              <w:pStyle w:val="ListParagraph"/>
              <w:ind w:left="0"/>
              <w:jc w:val="center"/>
            </w:pPr>
            <w:r>
              <w:t>500</w:t>
            </w:r>
          </w:p>
        </w:tc>
        <w:tc>
          <w:tcPr>
            <w:tcW w:w="1132" w:type="dxa"/>
          </w:tcPr>
          <w:p w:rsidR="0034643F" w:rsidRPr="0034643F" w:rsidRDefault="00F15D28" w:rsidP="002330AE">
            <w:pPr>
              <w:pStyle w:val="ListParagraph"/>
              <w:ind w:left="0"/>
              <w:jc w:val="center"/>
            </w:pPr>
            <w:r>
              <w:t>125,180</w:t>
            </w:r>
          </w:p>
        </w:tc>
        <w:tc>
          <w:tcPr>
            <w:tcW w:w="1562" w:type="dxa"/>
          </w:tcPr>
          <w:p w:rsidR="0034643F" w:rsidRPr="00756AD2" w:rsidRDefault="004E3267" w:rsidP="002330AE">
            <w:pPr>
              <w:pStyle w:val="ListParagraph"/>
              <w:ind w:left="0"/>
              <w:jc w:val="center"/>
              <w:rPr>
                <w:b/>
              </w:rPr>
            </w:pPr>
            <w:r w:rsidRPr="00756AD2">
              <w:rPr>
                <w:b/>
              </w:rPr>
              <w:t>1.82</w:t>
            </w:r>
          </w:p>
        </w:tc>
        <w:tc>
          <w:tcPr>
            <w:tcW w:w="1312" w:type="dxa"/>
          </w:tcPr>
          <w:p w:rsidR="0034643F" w:rsidRPr="0034643F" w:rsidRDefault="004E3267" w:rsidP="002330AE">
            <w:pPr>
              <w:pStyle w:val="ListParagraph"/>
              <w:ind w:left="0"/>
              <w:jc w:val="center"/>
            </w:pPr>
            <w:r>
              <w:t>0.50</w:t>
            </w:r>
          </w:p>
        </w:tc>
        <w:tc>
          <w:tcPr>
            <w:tcW w:w="1249" w:type="dxa"/>
          </w:tcPr>
          <w:p w:rsidR="0034643F" w:rsidRPr="0034643F" w:rsidRDefault="004E3267" w:rsidP="002330AE">
            <w:pPr>
              <w:pStyle w:val="ListParagraph"/>
              <w:ind w:left="0"/>
              <w:jc w:val="center"/>
            </w:pPr>
            <w:r>
              <w:t>4.2</w:t>
            </w:r>
          </w:p>
        </w:tc>
      </w:tr>
      <w:tr w:rsidR="0034643F" w:rsidTr="0034643F">
        <w:tc>
          <w:tcPr>
            <w:tcW w:w="954" w:type="dxa"/>
          </w:tcPr>
          <w:p w:rsidR="0034643F" w:rsidRPr="000C02DB" w:rsidRDefault="0034643F" w:rsidP="002330AE">
            <w:pPr>
              <w:pStyle w:val="ListParagraph"/>
              <w:ind w:left="0"/>
              <w:jc w:val="center"/>
            </w:pPr>
            <w:r>
              <w:t>3</w:t>
            </w:r>
          </w:p>
        </w:tc>
        <w:tc>
          <w:tcPr>
            <w:tcW w:w="990" w:type="dxa"/>
          </w:tcPr>
          <w:p w:rsidR="0034643F" w:rsidRPr="000C02DB" w:rsidRDefault="0034643F" w:rsidP="002330AE">
            <w:pPr>
              <w:pStyle w:val="ListParagraph"/>
              <w:ind w:left="0"/>
              <w:jc w:val="center"/>
            </w:pPr>
            <w:r>
              <w:t>4,000</w:t>
            </w:r>
          </w:p>
        </w:tc>
        <w:tc>
          <w:tcPr>
            <w:tcW w:w="1133" w:type="dxa"/>
          </w:tcPr>
          <w:p w:rsidR="0034643F" w:rsidRPr="000C02DB" w:rsidRDefault="0034643F" w:rsidP="002330AE">
            <w:pPr>
              <w:pStyle w:val="ListParagraph"/>
              <w:ind w:left="0"/>
              <w:jc w:val="center"/>
            </w:pPr>
            <w:r>
              <w:t>3,000</w:t>
            </w:r>
          </w:p>
        </w:tc>
        <w:tc>
          <w:tcPr>
            <w:tcW w:w="884" w:type="dxa"/>
          </w:tcPr>
          <w:p w:rsidR="0034643F" w:rsidRDefault="0034643F" w:rsidP="002330AE">
            <w:pPr>
              <w:pStyle w:val="ListParagraph"/>
              <w:ind w:left="0"/>
              <w:jc w:val="center"/>
            </w:pPr>
            <w:r>
              <w:t>750</w:t>
            </w:r>
          </w:p>
        </w:tc>
        <w:tc>
          <w:tcPr>
            <w:tcW w:w="1132" w:type="dxa"/>
          </w:tcPr>
          <w:p w:rsidR="0034643F" w:rsidRDefault="00F15D28" w:rsidP="002330AE">
            <w:pPr>
              <w:pStyle w:val="ListParagraph"/>
              <w:ind w:left="0"/>
              <w:jc w:val="center"/>
            </w:pPr>
            <w:r>
              <w:t>122,930</w:t>
            </w:r>
          </w:p>
        </w:tc>
        <w:tc>
          <w:tcPr>
            <w:tcW w:w="1562" w:type="dxa"/>
          </w:tcPr>
          <w:p w:rsidR="0034643F" w:rsidRPr="00756AD2" w:rsidRDefault="004E3267" w:rsidP="002330AE">
            <w:pPr>
              <w:pStyle w:val="ListParagraph"/>
              <w:ind w:left="0"/>
              <w:jc w:val="center"/>
              <w:rPr>
                <w:b/>
              </w:rPr>
            </w:pPr>
            <w:r w:rsidRPr="00756AD2">
              <w:rPr>
                <w:b/>
              </w:rPr>
              <w:t>2.01</w:t>
            </w:r>
          </w:p>
        </w:tc>
        <w:tc>
          <w:tcPr>
            <w:tcW w:w="1312" w:type="dxa"/>
          </w:tcPr>
          <w:p w:rsidR="0034643F" w:rsidRPr="000C02DB" w:rsidRDefault="00A221F7" w:rsidP="002330AE">
            <w:pPr>
              <w:pStyle w:val="ListParagraph"/>
              <w:ind w:left="0"/>
              <w:jc w:val="center"/>
            </w:pPr>
            <w:r>
              <w:t>0</w:t>
            </w:r>
            <w:r w:rsidR="004E3267">
              <w:t>.55</w:t>
            </w:r>
          </w:p>
        </w:tc>
        <w:tc>
          <w:tcPr>
            <w:tcW w:w="1249" w:type="dxa"/>
          </w:tcPr>
          <w:p w:rsidR="0034643F" w:rsidRPr="000C02DB" w:rsidRDefault="004E3267" w:rsidP="002330AE">
            <w:pPr>
              <w:pStyle w:val="ListParagraph"/>
              <w:ind w:left="0"/>
              <w:jc w:val="center"/>
            </w:pPr>
            <w:r>
              <w:t>5.9</w:t>
            </w:r>
          </w:p>
        </w:tc>
      </w:tr>
    </w:tbl>
    <w:p w:rsidR="00BA57BF" w:rsidRDefault="00BA57BF" w:rsidP="0072760C"/>
    <w:p w:rsidR="00887FB1" w:rsidRPr="002A1D88" w:rsidRDefault="00887FB1" w:rsidP="00887FB1">
      <w:pPr>
        <w:rPr>
          <w:i/>
          <w:sz w:val="28"/>
          <w:szCs w:val="28"/>
        </w:rPr>
      </w:pPr>
      <w:r w:rsidRPr="002A1D88">
        <w:rPr>
          <w:i/>
          <w:sz w:val="28"/>
          <w:szCs w:val="28"/>
        </w:rPr>
        <w:t xml:space="preserve">2. </w:t>
      </w:r>
      <w:r w:rsidR="0039490F" w:rsidRPr="002A1D88">
        <w:rPr>
          <w:i/>
          <w:sz w:val="28"/>
          <w:szCs w:val="28"/>
          <w:u w:val="single"/>
        </w:rPr>
        <w:t xml:space="preserve">Potential </w:t>
      </w:r>
      <w:r w:rsidRPr="002A1D88">
        <w:rPr>
          <w:i/>
          <w:sz w:val="28"/>
          <w:szCs w:val="28"/>
          <w:u w:val="single"/>
        </w:rPr>
        <w:t>Existing Development Rule</w:t>
      </w:r>
      <w:r w:rsidR="0039490F" w:rsidRPr="002A1D88">
        <w:rPr>
          <w:i/>
          <w:sz w:val="28"/>
          <w:szCs w:val="28"/>
          <w:u w:val="single"/>
        </w:rPr>
        <w:t xml:space="preserve"> Revisions</w:t>
      </w:r>
    </w:p>
    <w:p w:rsidR="00160902" w:rsidRDefault="00A06DD3" w:rsidP="00A06DD3">
      <w:r>
        <w:t xml:space="preserve">The following proposed rule </w:t>
      </w:r>
      <w:r w:rsidR="00BE045A">
        <w:t>revisions</w:t>
      </w:r>
      <w:r>
        <w:t xml:space="preserve"> provide</w:t>
      </w:r>
      <w:r w:rsidR="00DA5002">
        <w:t xml:space="preserve"> specificity</w:t>
      </w:r>
      <w:r w:rsidR="00887FB1">
        <w:t xml:space="preserve"> to the rule </w:t>
      </w:r>
      <w:r>
        <w:t xml:space="preserve">concerning </w:t>
      </w:r>
      <w:r w:rsidR="00DA5002">
        <w:t xml:space="preserve">local program </w:t>
      </w:r>
      <w:r w:rsidR="00887FB1">
        <w:t xml:space="preserve">requirements such as identifying existing creditable </w:t>
      </w:r>
      <w:r w:rsidR="00DA5002">
        <w:t>practices</w:t>
      </w:r>
      <w:r w:rsidR="005C6CCD">
        <w:t xml:space="preserve"> and the</w:t>
      </w:r>
      <w:r w:rsidR="00887FB1">
        <w:t xml:space="preserve"> </w:t>
      </w:r>
      <w:r w:rsidR="00A11DEB">
        <w:t>approval process &amp; criteria</w:t>
      </w:r>
      <w:r w:rsidR="005C6CCD">
        <w:t xml:space="preserve"> for new and/or </w:t>
      </w:r>
      <w:r w:rsidR="00DA5002">
        <w:t>modified practices</w:t>
      </w:r>
      <w:r w:rsidR="00BE045A">
        <w:t xml:space="preserve">. </w:t>
      </w:r>
      <w:r w:rsidR="00D82120">
        <w:t>The proposed revisions below will be incorporated in the Falls Lake Existing Development Rule starting at Sub-Item (4</w:t>
      </w:r>
      <w:proofErr w:type="gramStart"/>
      <w:r w:rsidR="00D82120">
        <w:t>)(</w:t>
      </w:r>
      <w:proofErr w:type="spellStart"/>
      <w:proofErr w:type="gramEnd"/>
      <w:r w:rsidR="00D82120">
        <w:t>i</w:t>
      </w:r>
      <w:proofErr w:type="spellEnd"/>
      <w:r w:rsidR="00D82120">
        <w:t>) “Elements of Load Reduction Programs”. They will also be incorporated as revisions to the Jordan Existing Development Rule starting at Sub-Item (9) “Stage 2 Program Development”. Rule language in the current Falls Lake ED Rule requiring programs address land types affected (Sub-Item(4)(k)), and requiring programs to address use of detailed list of practices (Sub-Item(4)(l) through (4)(n)), is proposed for deletion.</w:t>
      </w:r>
    </w:p>
    <w:p w:rsidR="00203E2A" w:rsidRDefault="00203E2A" w:rsidP="00A06DD3"/>
    <w:p w:rsidR="00203E2A" w:rsidRPr="00A06DD3" w:rsidRDefault="00203E2A" w:rsidP="00A06DD3">
      <w:pPr>
        <w:rPr>
          <w:i/>
        </w:rPr>
      </w:pPr>
    </w:p>
    <w:p w:rsidR="00765556" w:rsidRDefault="00576DFC" w:rsidP="00186A97">
      <w:pPr>
        <w:pStyle w:val="ListParagraph"/>
        <w:numPr>
          <w:ilvl w:val="0"/>
          <w:numId w:val="3"/>
        </w:numPr>
        <w:rPr>
          <w:b/>
        </w:rPr>
      </w:pPr>
      <w:r>
        <w:rPr>
          <w:b/>
        </w:rPr>
        <w:lastRenderedPageBreak/>
        <w:t xml:space="preserve">Draft </w:t>
      </w:r>
      <w:r w:rsidR="00160902" w:rsidRPr="00160902">
        <w:rPr>
          <w:b/>
        </w:rPr>
        <w:t xml:space="preserve">Proposed Rule </w:t>
      </w:r>
      <w:r w:rsidR="0024404D">
        <w:rPr>
          <w:b/>
        </w:rPr>
        <w:t>Revisions</w:t>
      </w:r>
      <w:r w:rsidR="00160902" w:rsidRPr="00160902">
        <w:rPr>
          <w:b/>
        </w:rPr>
        <w:t xml:space="preserve"> </w:t>
      </w:r>
      <w:r w:rsidR="005C6CCD">
        <w:rPr>
          <w:b/>
        </w:rPr>
        <w:t>Clarifying Elements of Load Reduction Programs</w:t>
      </w:r>
    </w:p>
    <w:p w:rsidR="0024404D" w:rsidRPr="005A2EA3" w:rsidRDefault="00E20A8C" w:rsidP="00E20A8C">
      <w:pPr>
        <w:pStyle w:val="SubItemLvl1"/>
        <w:spacing w:line="360" w:lineRule="auto"/>
        <w:rPr>
          <w:rFonts w:asciiTheme="minorHAnsi" w:hAnsiTheme="minorHAnsi"/>
          <w:sz w:val="22"/>
          <w:szCs w:val="22"/>
          <w:u w:val="single"/>
        </w:rPr>
      </w:pPr>
      <w:r w:rsidRPr="005A2EA3">
        <w:rPr>
          <w:rFonts w:asciiTheme="minorHAnsi" w:hAnsiTheme="minorHAnsi"/>
          <w:sz w:val="22"/>
          <w:szCs w:val="22"/>
        </w:rPr>
        <w:t>(4)</w:t>
      </w:r>
      <w:r w:rsidR="0024404D" w:rsidRPr="005A2EA3">
        <w:rPr>
          <w:rFonts w:asciiTheme="minorHAnsi" w:hAnsiTheme="minorHAnsi"/>
          <w:sz w:val="22"/>
          <w:szCs w:val="22"/>
        </w:rPr>
        <w:t>(</w:t>
      </w:r>
      <w:proofErr w:type="spellStart"/>
      <w:r w:rsidR="0024404D" w:rsidRPr="005A2EA3">
        <w:rPr>
          <w:rFonts w:asciiTheme="minorHAnsi" w:hAnsiTheme="minorHAnsi"/>
          <w:sz w:val="22"/>
          <w:szCs w:val="22"/>
        </w:rPr>
        <w:t>i</w:t>
      </w:r>
      <w:proofErr w:type="spellEnd"/>
      <w:r w:rsidR="0024404D" w:rsidRPr="005A2EA3">
        <w:rPr>
          <w:rFonts w:asciiTheme="minorHAnsi" w:hAnsiTheme="minorHAnsi"/>
          <w:sz w:val="22"/>
          <w:szCs w:val="22"/>
        </w:rPr>
        <w:t>)</w:t>
      </w:r>
      <w:r w:rsidR="0024404D" w:rsidRPr="005A2EA3">
        <w:rPr>
          <w:rFonts w:asciiTheme="minorHAnsi" w:hAnsiTheme="minorHAnsi"/>
          <w:sz w:val="22"/>
          <w:szCs w:val="22"/>
        </w:rPr>
        <w:tab/>
      </w:r>
      <w:r w:rsidR="0024404D" w:rsidRPr="005A2EA3">
        <w:rPr>
          <w:rFonts w:asciiTheme="minorHAnsi" w:hAnsiTheme="minorHAnsi"/>
          <w:sz w:val="22"/>
          <w:szCs w:val="22"/>
          <w:u w:val="single"/>
        </w:rPr>
        <w:t>The program shall include a proposed implementation schedule that includes annual implementation expectations.  The load reduction program shall identify</w:t>
      </w:r>
      <w:r w:rsidR="0024404D" w:rsidRPr="005A2EA3">
        <w:rPr>
          <w:rFonts w:asciiTheme="minorHAnsi" w:hAnsiTheme="minorHAnsi"/>
          <w:sz w:val="22"/>
          <w:szCs w:val="22"/>
        </w:rPr>
        <w:t xml:space="preserve"> </w:t>
      </w:r>
      <w:r w:rsidR="0024404D" w:rsidRPr="005A2EA3">
        <w:rPr>
          <w:rFonts w:asciiTheme="minorHAnsi" w:hAnsiTheme="minorHAnsi"/>
          <w:sz w:val="22"/>
          <w:szCs w:val="22"/>
          <w:u w:val="single"/>
        </w:rPr>
        <w:t>the types of activities the local government intends to implement</w:t>
      </w:r>
      <w:r w:rsidR="00BE045A" w:rsidRPr="005A2EA3">
        <w:rPr>
          <w:rFonts w:asciiTheme="minorHAnsi" w:hAnsiTheme="minorHAnsi"/>
          <w:sz w:val="22"/>
          <w:szCs w:val="22"/>
          <w:u w:val="single"/>
        </w:rPr>
        <w:t>,</w:t>
      </w:r>
      <w:r w:rsidR="0024404D" w:rsidRPr="005A2EA3">
        <w:rPr>
          <w:rFonts w:asciiTheme="minorHAnsi" w:hAnsiTheme="minorHAnsi"/>
          <w:sz w:val="22"/>
          <w:szCs w:val="22"/>
        </w:rPr>
        <w:t xml:space="preserve"> </w:t>
      </w:r>
      <w:r w:rsidR="0024404D" w:rsidRPr="005A2EA3">
        <w:rPr>
          <w:rFonts w:asciiTheme="minorHAnsi" w:hAnsiTheme="minorHAnsi"/>
          <w:strike/>
          <w:sz w:val="22"/>
          <w:szCs w:val="22"/>
        </w:rPr>
        <w:t xml:space="preserve">and types of existing development </w:t>
      </w:r>
      <w:proofErr w:type="gramStart"/>
      <w:r w:rsidR="0024404D" w:rsidRPr="005A2EA3">
        <w:rPr>
          <w:rFonts w:asciiTheme="minorHAnsi" w:hAnsiTheme="minorHAnsi"/>
          <w:strike/>
          <w:sz w:val="22"/>
          <w:szCs w:val="22"/>
        </w:rPr>
        <w:t>affected,</w:t>
      </w:r>
      <w:proofErr w:type="gramEnd"/>
      <w:r w:rsidR="0024404D" w:rsidRPr="005A2EA3">
        <w:rPr>
          <w:rFonts w:asciiTheme="minorHAnsi" w:hAnsiTheme="minorHAnsi"/>
          <w:strike/>
          <w:sz w:val="22"/>
          <w:szCs w:val="22"/>
        </w:rPr>
        <w:t xml:space="preserve"> </w:t>
      </w:r>
      <w:r w:rsidR="0024404D" w:rsidRPr="005A2EA3">
        <w:rPr>
          <w:rFonts w:asciiTheme="minorHAnsi" w:hAnsiTheme="minorHAnsi"/>
          <w:sz w:val="22"/>
          <w:szCs w:val="22"/>
          <w:u w:val="single"/>
        </w:rPr>
        <w:t>a prioritization of practices, magnitude of reductions it expects to achieve from each, and the costs and efficiencies of each activity to the extent information is available.  The program shall identify the duration of anticipated loading reductions, and may seek activities that provide long-term reductions;</w:t>
      </w:r>
    </w:p>
    <w:p w:rsidR="005A2EA3" w:rsidRPr="005A2EA3" w:rsidRDefault="005A2EA3" w:rsidP="005A2EA3">
      <w:pPr>
        <w:pStyle w:val="SubItemLvl1"/>
        <w:spacing w:line="360" w:lineRule="auto"/>
        <w:rPr>
          <w:rFonts w:asciiTheme="minorHAnsi" w:hAnsiTheme="minorHAnsi"/>
          <w:sz w:val="22"/>
          <w:szCs w:val="22"/>
        </w:rPr>
      </w:pPr>
      <w:r w:rsidRPr="005A2EA3">
        <w:rPr>
          <w:rFonts w:asciiTheme="minorHAnsi" w:hAnsiTheme="minorHAnsi"/>
          <w:sz w:val="22"/>
          <w:szCs w:val="22"/>
        </w:rPr>
        <w:t>(j)</w:t>
      </w:r>
      <w:r w:rsidRPr="005A2EA3">
        <w:rPr>
          <w:rFonts w:asciiTheme="minorHAnsi" w:hAnsiTheme="minorHAnsi"/>
          <w:sz w:val="22"/>
          <w:szCs w:val="22"/>
        </w:rPr>
        <w:tab/>
      </w:r>
      <w:r w:rsidRPr="00234EE6">
        <w:rPr>
          <w:rFonts w:asciiTheme="minorHAnsi" w:hAnsiTheme="minorHAnsi"/>
          <w:sz w:val="22"/>
          <w:szCs w:val="22"/>
          <w:u w:val="single"/>
        </w:rPr>
        <w:t>The load reduction program shall identify anticipated funding mechanisms or sources and discuss steps take or planned to secure such funding;</w:t>
      </w:r>
    </w:p>
    <w:p w:rsidR="005C6CCD" w:rsidRDefault="005C6CCD" w:rsidP="005C6CCD">
      <w:pPr>
        <w:pStyle w:val="ListParagraph"/>
        <w:rPr>
          <w:b/>
        </w:rPr>
      </w:pPr>
    </w:p>
    <w:p w:rsidR="005C6CCD" w:rsidRPr="005C6CCD" w:rsidRDefault="005C6CCD" w:rsidP="005C6CCD">
      <w:pPr>
        <w:pStyle w:val="ListParagraph"/>
        <w:numPr>
          <w:ilvl w:val="0"/>
          <w:numId w:val="3"/>
        </w:numPr>
        <w:rPr>
          <w:b/>
        </w:rPr>
      </w:pPr>
      <w:r>
        <w:rPr>
          <w:b/>
        </w:rPr>
        <w:t xml:space="preserve">Draft </w:t>
      </w:r>
      <w:r w:rsidRPr="00160902">
        <w:rPr>
          <w:b/>
        </w:rPr>
        <w:t xml:space="preserve">Proposed Rule </w:t>
      </w:r>
      <w:r>
        <w:rPr>
          <w:b/>
        </w:rPr>
        <w:t>Revisions</w:t>
      </w:r>
      <w:r w:rsidRPr="00160902">
        <w:rPr>
          <w:b/>
        </w:rPr>
        <w:t xml:space="preserve"> </w:t>
      </w:r>
      <w:r>
        <w:rPr>
          <w:b/>
        </w:rPr>
        <w:t>For Addressing Existing Creditable Practices</w:t>
      </w:r>
      <w:r w:rsidRPr="00160902">
        <w:rPr>
          <w:b/>
        </w:rPr>
        <w:t xml:space="preserve"> </w:t>
      </w:r>
      <w:r>
        <w:rPr>
          <w:b/>
        </w:rPr>
        <w:t>in Local Program</w:t>
      </w:r>
      <w:r w:rsidR="00D82120">
        <w:rPr>
          <w:b/>
        </w:rPr>
        <w:br/>
        <w:t xml:space="preserve">This new proposed language is proposed to be inserted </w:t>
      </w:r>
    </w:p>
    <w:p w:rsidR="00E20A8C" w:rsidRPr="005A2EA3" w:rsidRDefault="005A2EA3" w:rsidP="00D82120">
      <w:pPr>
        <w:pStyle w:val="SubItemLvl1"/>
        <w:spacing w:line="360" w:lineRule="auto"/>
        <w:ind w:left="1440"/>
        <w:rPr>
          <w:rFonts w:asciiTheme="minorHAnsi" w:hAnsiTheme="minorHAnsi"/>
          <w:sz w:val="22"/>
          <w:szCs w:val="22"/>
          <w:u w:val="single"/>
        </w:rPr>
      </w:pPr>
      <w:r w:rsidRPr="005A2EA3">
        <w:rPr>
          <w:rFonts w:asciiTheme="minorHAnsi" w:hAnsiTheme="minorHAnsi"/>
          <w:sz w:val="22"/>
          <w:szCs w:val="22"/>
        </w:rPr>
        <w:t>(</w:t>
      </w:r>
      <w:r w:rsidRPr="005A2EA3">
        <w:rPr>
          <w:rFonts w:asciiTheme="minorHAnsi" w:hAnsiTheme="minorHAnsi"/>
          <w:sz w:val="22"/>
          <w:szCs w:val="22"/>
        </w:rPr>
        <w:t>5)</w:t>
      </w:r>
      <w:r w:rsidRPr="005A2EA3">
        <w:rPr>
          <w:rFonts w:asciiTheme="minorHAnsi" w:hAnsiTheme="minorHAnsi"/>
          <w:sz w:val="22"/>
          <w:szCs w:val="22"/>
        </w:rPr>
        <w:tab/>
      </w:r>
      <w:r w:rsidRPr="005A2EA3">
        <w:rPr>
          <w:rFonts w:asciiTheme="minorHAnsi" w:hAnsiTheme="minorHAnsi"/>
          <w:sz w:val="22"/>
          <w:szCs w:val="22"/>
          <w:u w:val="single"/>
        </w:rPr>
        <w:t>APPROVED PRACTICES</w:t>
      </w:r>
      <w:r>
        <w:rPr>
          <w:rFonts w:asciiTheme="minorHAnsi" w:hAnsiTheme="minorHAnsi"/>
          <w:sz w:val="22"/>
          <w:szCs w:val="22"/>
          <w:u w:val="single"/>
        </w:rPr>
        <w:t>. A local government may propose to implement</w:t>
      </w:r>
      <w:r w:rsidR="005C6CCD">
        <w:rPr>
          <w:rFonts w:asciiTheme="minorHAnsi" w:hAnsiTheme="minorHAnsi"/>
          <w:sz w:val="22"/>
          <w:szCs w:val="22"/>
          <w:u w:val="single"/>
        </w:rPr>
        <w:t xml:space="preserve"> any </w:t>
      </w:r>
      <w:r>
        <w:rPr>
          <w:rFonts w:asciiTheme="minorHAnsi" w:hAnsiTheme="minorHAnsi"/>
          <w:sz w:val="22"/>
          <w:szCs w:val="22"/>
          <w:u w:val="single"/>
        </w:rPr>
        <w:t>nutrient reducing practice provided in the model program approved by the Env</w:t>
      </w:r>
      <w:r w:rsidR="005C6CCD">
        <w:rPr>
          <w:rFonts w:asciiTheme="minorHAnsi" w:hAnsiTheme="minorHAnsi"/>
          <w:sz w:val="22"/>
          <w:szCs w:val="22"/>
          <w:u w:val="single"/>
        </w:rPr>
        <w:t>ironmental Management C</w:t>
      </w:r>
      <w:r>
        <w:rPr>
          <w:rFonts w:asciiTheme="minorHAnsi" w:hAnsiTheme="minorHAnsi"/>
          <w:sz w:val="22"/>
          <w:szCs w:val="22"/>
          <w:u w:val="single"/>
        </w:rPr>
        <w:t xml:space="preserve">ommission </w:t>
      </w:r>
      <w:r w:rsidR="005C6CCD">
        <w:rPr>
          <w:rFonts w:asciiTheme="minorHAnsi" w:hAnsiTheme="minorHAnsi"/>
          <w:sz w:val="22"/>
          <w:szCs w:val="22"/>
          <w:u w:val="single"/>
        </w:rPr>
        <w:t>in November 2016 or other practice subsequently approved by the Director according to the process described in Items (6) though (8) of this Rule.</w:t>
      </w:r>
    </w:p>
    <w:p w:rsidR="00A06DD3" w:rsidRDefault="00A06DD3" w:rsidP="00887FB1"/>
    <w:p w:rsidR="00900007" w:rsidRPr="00160902" w:rsidRDefault="00F425B6" w:rsidP="00160902">
      <w:pPr>
        <w:pStyle w:val="ListParagraph"/>
        <w:numPr>
          <w:ilvl w:val="0"/>
          <w:numId w:val="3"/>
        </w:numPr>
        <w:rPr>
          <w:b/>
        </w:rPr>
      </w:pPr>
      <w:r>
        <w:rPr>
          <w:b/>
        </w:rPr>
        <w:t xml:space="preserve">Draft </w:t>
      </w:r>
      <w:r w:rsidR="006D7636">
        <w:rPr>
          <w:b/>
        </w:rPr>
        <w:t>Proposed Rule Language</w:t>
      </w:r>
      <w:r>
        <w:rPr>
          <w:b/>
        </w:rPr>
        <w:t xml:space="preserve"> </w:t>
      </w:r>
      <w:proofErr w:type="gramStart"/>
      <w:r>
        <w:rPr>
          <w:b/>
        </w:rPr>
        <w:t>For</w:t>
      </w:r>
      <w:proofErr w:type="gramEnd"/>
      <w:r>
        <w:rPr>
          <w:b/>
        </w:rPr>
        <w:t xml:space="preserve"> New or Modified Practice</w:t>
      </w:r>
      <w:r w:rsidR="00203E2A">
        <w:rPr>
          <w:b/>
        </w:rPr>
        <w:t>s</w:t>
      </w:r>
      <w:r w:rsidR="006D7636">
        <w:rPr>
          <w:b/>
        </w:rPr>
        <w:t xml:space="preserve"> </w:t>
      </w:r>
      <w:r w:rsidR="00EF6D67">
        <w:rPr>
          <w:b/>
        </w:rPr>
        <w:br/>
      </w:r>
      <w:r w:rsidR="00EF6D67">
        <w:t xml:space="preserve">The language below addresses </w:t>
      </w:r>
      <w:r w:rsidR="00EF6D67">
        <w:t>the approval process &amp; criteria for new and/or modified practices</w:t>
      </w:r>
      <w:r w:rsidR="00EF6D67">
        <w:t xml:space="preserve"> and is proposed to be inserted in the Falls and Jordan Rules immediately following the Elements of Load Reduction Programs language provided above.</w:t>
      </w:r>
    </w:p>
    <w:p w:rsidR="00900007" w:rsidRPr="007F1762" w:rsidRDefault="00900007" w:rsidP="00D82120">
      <w:pPr>
        <w:widowControl w:val="0"/>
        <w:spacing w:after="0" w:line="360" w:lineRule="auto"/>
        <w:ind w:left="1440" w:hanging="720"/>
        <w:rPr>
          <w:u w:val="single"/>
        </w:rPr>
      </w:pPr>
      <w:r w:rsidRPr="007F1762">
        <w:rPr>
          <w:u w:val="single"/>
        </w:rPr>
        <w:t>(</w:t>
      </w:r>
      <w:r w:rsidR="005C6CCD">
        <w:rPr>
          <w:u w:val="single"/>
        </w:rPr>
        <w:t>6</w:t>
      </w:r>
      <w:r w:rsidRPr="007F1762">
        <w:rPr>
          <w:u w:val="single"/>
        </w:rPr>
        <w:t>)</w:t>
      </w:r>
      <w:r w:rsidRPr="007F1762">
        <w:rPr>
          <w:u w:val="single"/>
        </w:rPr>
        <w:tab/>
      </w:r>
      <w:r w:rsidR="00D82120">
        <w:rPr>
          <w:u w:val="single"/>
        </w:rPr>
        <w:t xml:space="preserve">NEW </w:t>
      </w:r>
      <w:r w:rsidR="00D72CD5">
        <w:rPr>
          <w:u w:val="single"/>
        </w:rPr>
        <w:t>PRACTICE</w:t>
      </w:r>
      <w:r w:rsidR="006D7636">
        <w:rPr>
          <w:u w:val="single"/>
        </w:rPr>
        <w:t xml:space="preserve"> APPROVAL PROCESS</w:t>
      </w:r>
      <w:r w:rsidRPr="007F1762">
        <w:rPr>
          <w:u w:val="single"/>
        </w:rPr>
        <w:t xml:space="preserve">.  </w:t>
      </w:r>
      <w:r w:rsidR="006D7636">
        <w:rPr>
          <w:u w:val="single"/>
        </w:rPr>
        <w:t xml:space="preserve">The following is the process whereby </w:t>
      </w:r>
      <w:r w:rsidR="00AE59FF">
        <w:rPr>
          <w:u w:val="single"/>
        </w:rPr>
        <w:t>a regulated party</w:t>
      </w:r>
      <w:r w:rsidR="006D7636">
        <w:rPr>
          <w:u w:val="single"/>
        </w:rPr>
        <w:t xml:space="preserve"> </w:t>
      </w:r>
      <w:r w:rsidR="00D43A14">
        <w:rPr>
          <w:u w:val="single"/>
        </w:rPr>
        <w:t xml:space="preserve">may </w:t>
      </w:r>
      <w:r w:rsidR="00AE59FF">
        <w:rPr>
          <w:u w:val="single"/>
        </w:rPr>
        <w:t xml:space="preserve">submit </w:t>
      </w:r>
      <w:r w:rsidR="006D7636">
        <w:rPr>
          <w:u w:val="single"/>
        </w:rPr>
        <w:t xml:space="preserve">a new or modified </w:t>
      </w:r>
      <w:r w:rsidR="00EF6D67">
        <w:rPr>
          <w:u w:val="single"/>
        </w:rPr>
        <w:t xml:space="preserve">type of </w:t>
      </w:r>
      <w:r w:rsidR="006D7636">
        <w:rPr>
          <w:u w:val="single"/>
        </w:rPr>
        <w:t>practice</w:t>
      </w:r>
      <w:r w:rsidR="00D43A14">
        <w:rPr>
          <w:u w:val="single"/>
        </w:rPr>
        <w:t xml:space="preserve"> for approval by the Division for nutrient reduction credit</w:t>
      </w:r>
      <w:r w:rsidR="00AE59FF">
        <w:rPr>
          <w:u w:val="single"/>
        </w:rPr>
        <w:t xml:space="preserve">. Documentation for a candidate </w:t>
      </w:r>
      <w:r w:rsidR="00D43A14">
        <w:rPr>
          <w:u w:val="single"/>
        </w:rPr>
        <w:t>practices</w:t>
      </w:r>
      <w:r w:rsidR="00AE59FF">
        <w:rPr>
          <w:u w:val="single"/>
        </w:rPr>
        <w:t xml:space="preserve"> may be developed by the Division or provided by others</w:t>
      </w:r>
      <w:r w:rsidR="00D43A14">
        <w:rPr>
          <w:u w:val="single"/>
        </w:rPr>
        <w:t xml:space="preserve">. The credit approval process </w:t>
      </w:r>
      <w:r w:rsidR="00CD6CCC">
        <w:rPr>
          <w:u w:val="single"/>
        </w:rPr>
        <w:t>shall</w:t>
      </w:r>
      <w:r w:rsidR="00D43A14">
        <w:rPr>
          <w:u w:val="single"/>
        </w:rPr>
        <w:t xml:space="preserve"> </w:t>
      </w:r>
      <w:r w:rsidR="00CD6CCC">
        <w:rPr>
          <w:u w:val="single"/>
        </w:rPr>
        <w:t>include the following steps in the order they are described.</w:t>
      </w:r>
    </w:p>
    <w:p w:rsidR="00900007" w:rsidRPr="007F1762" w:rsidRDefault="00900007" w:rsidP="00D82120">
      <w:pPr>
        <w:widowControl w:val="0"/>
        <w:spacing w:after="0" w:line="360" w:lineRule="auto"/>
        <w:ind w:left="2160" w:hanging="720"/>
        <w:rPr>
          <w:u w:val="single"/>
        </w:rPr>
      </w:pPr>
      <w:r w:rsidRPr="007F1762">
        <w:rPr>
          <w:u w:val="single"/>
        </w:rPr>
        <w:t>(</w:t>
      </w:r>
      <w:r w:rsidR="00CC2483" w:rsidRPr="007F1762">
        <w:rPr>
          <w:u w:val="single"/>
        </w:rPr>
        <w:t>a</w:t>
      </w:r>
      <w:r w:rsidRPr="007F1762">
        <w:rPr>
          <w:u w:val="single"/>
        </w:rPr>
        <w:t>)</w:t>
      </w:r>
      <w:r w:rsidRPr="007F1762">
        <w:rPr>
          <w:u w:val="single"/>
        </w:rPr>
        <w:tab/>
      </w:r>
      <w:r w:rsidR="00AE59FF">
        <w:rPr>
          <w:u w:val="single"/>
        </w:rPr>
        <w:t>Regulated party develops</w:t>
      </w:r>
      <w:r w:rsidR="001E7A45">
        <w:rPr>
          <w:u w:val="single"/>
        </w:rPr>
        <w:t xml:space="preserve"> </w:t>
      </w:r>
      <w:r w:rsidR="00AE59FF">
        <w:rPr>
          <w:u w:val="single"/>
        </w:rPr>
        <w:t xml:space="preserve">or submits a </w:t>
      </w:r>
      <w:r w:rsidR="00DB0D66">
        <w:rPr>
          <w:u w:val="single"/>
        </w:rPr>
        <w:t xml:space="preserve">practice credit </w:t>
      </w:r>
      <w:r w:rsidR="00AE59FF">
        <w:rPr>
          <w:u w:val="single"/>
        </w:rPr>
        <w:t>proposal</w:t>
      </w:r>
      <w:r w:rsidR="00DB0D66">
        <w:rPr>
          <w:u w:val="single"/>
        </w:rPr>
        <w:t xml:space="preserve"> </w:t>
      </w:r>
      <w:r w:rsidRPr="007F1762">
        <w:rPr>
          <w:u w:val="single"/>
        </w:rPr>
        <w:t xml:space="preserve">that </w:t>
      </w:r>
      <w:r w:rsidR="006D7636">
        <w:rPr>
          <w:u w:val="single"/>
        </w:rPr>
        <w:t>addresses the elements</w:t>
      </w:r>
      <w:r w:rsidRPr="007F1762">
        <w:rPr>
          <w:u w:val="single"/>
        </w:rPr>
        <w:t xml:space="preserve"> </w:t>
      </w:r>
      <w:r w:rsidR="006D7636">
        <w:rPr>
          <w:u w:val="single"/>
        </w:rPr>
        <w:t xml:space="preserve">described </w:t>
      </w:r>
      <w:r w:rsidR="00DB0D66">
        <w:rPr>
          <w:u w:val="single"/>
        </w:rPr>
        <w:t>in Item (</w:t>
      </w:r>
      <w:r w:rsidR="00AE59FF">
        <w:rPr>
          <w:u w:val="single"/>
        </w:rPr>
        <w:t>7</w:t>
      </w:r>
      <w:r w:rsidR="00DB0D66">
        <w:rPr>
          <w:u w:val="single"/>
        </w:rPr>
        <w:t>);</w:t>
      </w:r>
    </w:p>
    <w:p w:rsidR="00900007" w:rsidRPr="007F1762" w:rsidRDefault="00900007" w:rsidP="00EF6D67">
      <w:pPr>
        <w:widowControl w:val="0"/>
        <w:tabs>
          <w:tab w:val="left" w:pos="1800"/>
        </w:tabs>
        <w:spacing w:after="0" w:line="360" w:lineRule="auto"/>
        <w:ind w:left="2160" w:hanging="720"/>
        <w:rPr>
          <w:u w:val="single"/>
        </w:rPr>
      </w:pPr>
      <w:r w:rsidRPr="007F1762">
        <w:rPr>
          <w:u w:val="single"/>
        </w:rPr>
        <w:t>(</w:t>
      </w:r>
      <w:r w:rsidR="00CC2483" w:rsidRPr="007F1762">
        <w:rPr>
          <w:u w:val="single"/>
        </w:rPr>
        <w:t>b</w:t>
      </w:r>
      <w:r w:rsidRPr="007F1762">
        <w:rPr>
          <w:u w:val="single"/>
        </w:rPr>
        <w:t xml:space="preserve">)  </w:t>
      </w:r>
      <w:r w:rsidRPr="007F1762">
        <w:rPr>
          <w:u w:val="single"/>
        </w:rPr>
        <w:tab/>
      </w:r>
      <w:r w:rsidRPr="007F1762">
        <w:rPr>
          <w:u w:val="single"/>
        </w:rPr>
        <w:tab/>
      </w:r>
      <w:r w:rsidR="00D43A14">
        <w:rPr>
          <w:u w:val="single"/>
        </w:rPr>
        <w:t xml:space="preserve">The Division provides the </w:t>
      </w:r>
      <w:r w:rsidR="00DB0D66">
        <w:rPr>
          <w:u w:val="single"/>
        </w:rPr>
        <w:t xml:space="preserve">draft credit specifications </w:t>
      </w:r>
      <w:r w:rsidR="00D43A14">
        <w:rPr>
          <w:u w:val="single"/>
        </w:rPr>
        <w:t>to the</w:t>
      </w:r>
      <w:r w:rsidR="00DB0D66">
        <w:rPr>
          <w:u w:val="single"/>
        </w:rPr>
        <w:t xml:space="preserve"> </w:t>
      </w:r>
      <w:r w:rsidR="00DB0D66" w:rsidRPr="007F1762">
        <w:rPr>
          <w:u w:val="single"/>
        </w:rPr>
        <w:t xml:space="preserve">Nutrient Scientific Advisor Board </w:t>
      </w:r>
      <w:r w:rsidR="00D43A14">
        <w:rPr>
          <w:u w:val="single"/>
        </w:rPr>
        <w:t xml:space="preserve">for review </w:t>
      </w:r>
      <w:r w:rsidR="00EF6D67">
        <w:rPr>
          <w:u w:val="single"/>
        </w:rPr>
        <w:t xml:space="preserve">followed by a </w:t>
      </w:r>
      <w:r w:rsidR="00CC2483" w:rsidRPr="007F1762">
        <w:rPr>
          <w:u w:val="single"/>
        </w:rPr>
        <w:t>30 day informal comment period</w:t>
      </w:r>
      <w:r w:rsidR="00F425B6">
        <w:rPr>
          <w:u w:val="single"/>
        </w:rPr>
        <w:t>; and</w:t>
      </w:r>
      <w:r w:rsidR="00CC2483" w:rsidRPr="007F1762">
        <w:rPr>
          <w:u w:val="single"/>
        </w:rPr>
        <w:t xml:space="preserve"> </w:t>
      </w:r>
    </w:p>
    <w:p w:rsidR="00EF6D67" w:rsidRDefault="00900007" w:rsidP="00D0389D">
      <w:pPr>
        <w:widowControl w:val="0"/>
        <w:tabs>
          <w:tab w:val="left" w:pos="1800"/>
        </w:tabs>
        <w:spacing w:after="0" w:line="360" w:lineRule="auto"/>
        <w:ind w:left="2160" w:hanging="720"/>
        <w:rPr>
          <w:u w:val="single"/>
        </w:rPr>
      </w:pPr>
      <w:r w:rsidRPr="007F1762">
        <w:rPr>
          <w:u w:val="single"/>
        </w:rPr>
        <w:lastRenderedPageBreak/>
        <w:t>(</w:t>
      </w:r>
      <w:r w:rsidR="00CC2483" w:rsidRPr="007F1762">
        <w:rPr>
          <w:u w:val="single"/>
        </w:rPr>
        <w:t>e</w:t>
      </w:r>
      <w:r w:rsidRPr="007F1762">
        <w:rPr>
          <w:u w:val="single"/>
        </w:rPr>
        <w:t>)</w:t>
      </w:r>
      <w:r w:rsidRPr="007F1762">
        <w:rPr>
          <w:u w:val="single"/>
        </w:rPr>
        <w:tab/>
      </w:r>
      <w:r w:rsidRPr="007F1762">
        <w:rPr>
          <w:u w:val="single"/>
        </w:rPr>
        <w:tab/>
      </w:r>
      <w:r w:rsidR="00DB0D66">
        <w:rPr>
          <w:u w:val="single"/>
        </w:rPr>
        <w:t>A</w:t>
      </w:r>
      <w:r w:rsidR="007F1762" w:rsidRPr="007F1762">
        <w:rPr>
          <w:u w:val="single"/>
        </w:rPr>
        <w:t>pprov</w:t>
      </w:r>
      <w:r w:rsidR="00554532">
        <w:rPr>
          <w:u w:val="single"/>
        </w:rPr>
        <w:t>al</w:t>
      </w:r>
      <w:r w:rsidR="00DB0D66">
        <w:rPr>
          <w:u w:val="single"/>
        </w:rPr>
        <w:t xml:space="preserve"> of final credit specifications</w:t>
      </w:r>
      <w:r w:rsidR="00DB0D66" w:rsidRPr="007F1762">
        <w:rPr>
          <w:u w:val="single"/>
        </w:rPr>
        <w:t xml:space="preserve"> </w:t>
      </w:r>
      <w:r w:rsidR="007F1762" w:rsidRPr="007F1762">
        <w:rPr>
          <w:u w:val="single"/>
        </w:rPr>
        <w:t>by signature of the Director</w:t>
      </w:r>
      <w:r w:rsidR="00554532">
        <w:rPr>
          <w:u w:val="single"/>
        </w:rPr>
        <w:t xml:space="preserve"> a</w:t>
      </w:r>
      <w:r w:rsidR="007F1762" w:rsidRPr="007F1762">
        <w:rPr>
          <w:u w:val="single"/>
        </w:rPr>
        <w:t xml:space="preserve">nd posted </w:t>
      </w:r>
      <w:r w:rsidR="00DB0D66">
        <w:rPr>
          <w:u w:val="single"/>
        </w:rPr>
        <w:t>to</w:t>
      </w:r>
      <w:r w:rsidR="007F1762" w:rsidRPr="007F1762">
        <w:rPr>
          <w:u w:val="single"/>
        </w:rPr>
        <w:t xml:space="preserve"> the Division’s website.</w:t>
      </w:r>
      <w:r w:rsidRPr="007F1762">
        <w:rPr>
          <w:u w:val="single"/>
        </w:rPr>
        <w:t xml:space="preserve">  </w:t>
      </w:r>
    </w:p>
    <w:p w:rsidR="00F425B6" w:rsidRPr="007F1762" w:rsidRDefault="00F425B6" w:rsidP="00F425B6">
      <w:pPr>
        <w:widowControl w:val="0"/>
        <w:tabs>
          <w:tab w:val="left" w:pos="1800"/>
        </w:tabs>
        <w:spacing w:after="0" w:line="360" w:lineRule="auto"/>
        <w:rPr>
          <w:u w:val="single"/>
        </w:rPr>
      </w:pPr>
    </w:p>
    <w:p w:rsidR="00900007" w:rsidRPr="00261ED4" w:rsidRDefault="006D7636" w:rsidP="00900007">
      <w:pPr>
        <w:widowControl w:val="0"/>
        <w:spacing w:after="0" w:line="360" w:lineRule="auto"/>
        <w:ind w:left="1440" w:hanging="720"/>
        <w:rPr>
          <w:u w:val="single"/>
        </w:rPr>
      </w:pPr>
      <w:r w:rsidRPr="00261ED4">
        <w:rPr>
          <w:u w:val="single"/>
        </w:rPr>
        <w:t xml:space="preserve"> </w:t>
      </w:r>
      <w:r w:rsidR="00900007" w:rsidRPr="00261ED4">
        <w:rPr>
          <w:u w:val="single"/>
        </w:rPr>
        <w:t>(</w:t>
      </w:r>
      <w:r w:rsidR="005C6CCD">
        <w:rPr>
          <w:u w:val="single"/>
        </w:rPr>
        <w:t>7</w:t>
      </w:r>
      <w:r w:rsidR="00900007" w:rsidRPr="00261ED4">
        <w:rPr>
          <w:u w:val="single"/>
        </w:rPr>
        <w:t>)</w:t>
      </w:r>
      <w:r w:rsidR="00900007" w:rsidRPr="00261ED4">
        <w:rPr>
          <w:u w:val="single"/>
        </w:rPr>
        <w:tab/>
      </w:r>
      <w:r w:rsidR="006D729A">
        <w:rPr>
          <w:u w:val="single"/>
        </w:rPr>
        <w:t xml:space="preserve">PRACTICE </w:t>
      </w:r>
      <w:r w:rsidR="00746C0B" w:rsidRPr="00261ED4">
        <w:rPr>
          <w:u w:val="single"/>
        </w:rPr>
        <w:t>ELEMENTS</w:t>
      </w:r>
      <w:r w:rsidR="00900007" w:rsidRPr="00261ED4">
        <w:rPr>
          <w:u w:val="single"/>
        </w:rPr>
        <w:t xml:space="preserve">.  The following </w:t>
      </w:r>
      <w:r w:rsidR="0072760C">
        <w:rPr>
          <w:u w:val="single"/>
        </w:rPr>
        <w:t>elements</w:t>
      </w:r>
      <w:r w:rsidR="006D729A">
        <w:rPr>
          <w:u w:val="single"/>
        </w:rPr>
        <w:t xml:space="preserve"> shall be addressed in </w:t>
      </w:r>
      <w:r w:rsidR="0072760C">
        <w:rPr>
          <w:u w:val="single"/>
        </w:rPr>
        <w:t>any</w:t>
      </w:r>
      <w:r w:rsidR="006D729A">
        <w:rPr>
          <w:u w:val="single"/>
        </w:rPr>
        <w:t xml:space="preserve"> practice credit </w:t>
      </w:r>
      <w:r w:rsidR="00AE59FF">
        <w:rPr>
          <w:u w:val="single"/>
        </w:rPr>
        <w:t>proposal developed or</w:t>
      </w:r>
      <w:r w:rsidR="006D729A">
        <w:rPr>
          <w:u w:val="single"/>
        </w:rPr>
        <w:t xml:space="preserve"> submitted </w:t>
      </w:r>
      <w:r w:rsidR="00DA5002">
        <w:rPr>
          <w:u w:val="single"/>
        </w:rPr>
        <w:t>for approval</w:t>
      </w:r>
      <w:r w:rsidR="00746C0B" w:rsidRPr="00261ED4">
        <w:rPr>
          <w:u w:val="single"/>
        </w:rPr>
        <w:t>:</w:t>
      </w:r>
      <w:r w:rsidR="00900007" w:rsidRPr="00261ED4">
        <w:rPr>
          <w:u w:val="single"/>
        </w:rPr>
        <w:t xml:space="preserve">  </w:t>
      </w:r>
    </w:p>
    <w:p w:rsidR="001E7A45" w:rsidRDefault="00900007" w:rsidP="001E7A45">
      <w:pPr>
        <w:widowControl w:val="0"/>
        <w:spacing w:after="0" w:line="360" w:lineRule="auto"/>
        <w:ind w:left="2160" w:hanging="720"/>
        <w:rPr>
          <w:u w:val="single"/>
        </w:rPr>
      </w:pPr>
      <w:r w:rsidRPr="00261ED4">
        <w:rPr>
          <w:u w:val="single"/>
        </w:rPr>
        <w:t>(a)</w:t>
      </w:r>
      <w:r w:rsidRPr="00261ED4">
        <w:rPr>
          <w:u w:val="single"/>
        </w:rPr>
        <w:tab/>
      </w:r>
      <w:r w:rsidR="006D729A">
        <w:rPr>
          <w:u w:val="single"/>
        </w:rPr>
        <w:t>Practice</w:t>
      </w:r>
      <w:r w:rsidR="00261ED4" w:rsidRPr="00261ED4">
        <w:rPr>
          <w:u w:val="single"/>
        </w:rPr>
        <w:t xml:space="preserve"> descri</w:t>
      </w:r>
      <w:r w:rsidR="006D729A">
        <w:rPr>
          <w:u w:val="single"/>
        </w:rPr>
        <w:t xml:space="preserve">ption </w:t>
      </w:r>
      <w:r w:rsidR="0072760C">
        <w:rPr>
          <w:u w:val="single"/>
        </w:rPr>
        <w:t>with</w:t>
      </w:r>
      <w:r w:rsidR="006D729A">
        <w:rPr>
          <w:u w:val="single"/>
        </w:rPr>
        <w:t xml:space="preserve"> </w:t>
      </w:r>
      <w:r w:rsidR="001E7A45">
        <w:rPr>
          <w:u w:val="single"/>
        </w:rPr>
        <w:t>characterization of load reduction value ranges and the nutrient reduction estimation method</w:t>
      </w:r>
      <w:r w:rsidR="00AE59FF">
        <w:rPr>
          <w:u w:val="single"/>
        </w:rPr>
        <w:t xml:space="preserve"> tied to practice design conditions</w:t>
      </w:r>
      <w:r w:rsidR="001E7A45">
        <w:rPr>
          <w:u w:val="single"/>
        </w:rPr>
        <w:t>;</w:t>
      </w:r>
    </w:p>
    <w:p w:rsidR="00900007" w:rsidRDefault="00900007" w:rsidP="00900007">
      <w:pPr>
        <w:widowControl w:val="0"/>
        <w:spacing w:after="0" w:line="360" w:lineRule="auto"/>
        <w:ind w:left="2160" w:hanging="720"/>
        <w:rPr>
          <w:u w:val="single"/>
        </w:rPr>
      </w:pPr>
      <w:r w:rsidRPr="001C1CAC">
        <w:rPr>
          <w:u w:val="single"/>
        </w:rPr>
        <w:t>(b)</w:t>
      </w:r>
      <w:r w:rsidRPr="001C1CAC">
        <w:rPr>
          <w:u w:val="single"/>
        </w:rPr>
        <w:tab/>
      </w:r>
      <w:r w:rsidR="006D35EE" w:rsidRPr="001C1CAC">
        <w:rPr>
          <w:u w:val="single"/>
        </w:rPr>
        <w:t xml:space="preserve">Installation, implementation, operation and maintenance </w:t>
      </w:r>
      <w:r w:rsidR="00AE59FF">
        <w:rPr>
          <w:u w:val="single"/>
        </w:rPr>
        <w:t>minimums</w:t>
      </w:r>
      <w:r w:rsidR="006D35EE" w:rsidRPr="001C1CAC">
        <w:rPr>
          <w:u w:val="single"/>
        </w:rPr>
        <w:t xml:space="preserve"> and considerations to ensure intended level and duration of function;</w:t>
      </w:r>
    </w:p>
    <w:p w:rsidR="006D729A" w:rsidRPr="001C1CAC" w:rsidRDefault="006D729A" w:rsidP="00900007">
      <w:pPr>
        <w:widowControl w:val="0"/>
        <w:spacing w:after="0" w:line="360" w:lineRule="auto"/>
        <w:ind w:left="2160" w:hanging="720"/>
        <w:rPr>
          <w:u w:val="single"/>
        </w:rPr>
      </w:pPr>
      <w:r>
        <w:rPr>
          <w:u w:val="single"/>
        </w:rPr>
        <w:t>(c)</w:t>
      </w:r>
      <w:r>
        <w:rPr>
          <w:u w:val="single"/>
        </w:rPr>
        <w:tab/>
        <w:t xml:space="preserve">Process for verifying </w:t>
      </w:r>
      <w:r w:rsidR="0072760C">
        <w:rPr>
          <w:u w:val="single"/>
        </w:rPr>
        <w:t xml:space="preserve">and reporting </w:t>
      </w:r>
      <w:r>
        <w:rPr>
          <w:u w:val="single"/>
        </w:rPr>
        <w:t>continued function of practice;</w:t>
      </w:r>
      <w:r w:rsidR="001E7A45">
        <w:rPr>
          <w:u w:val="single"/>
        </w:rPr>
        <w:t xml:space="preserve"> and</w:t>
      </w:r>
    </w:p>
    <w:p w:rsidR="00115E2E" w:rsidRDefault="001C1CAC" w:rsidP="00AA6763">
      <w:pPr>
        <w:widowControl w:val="0"/>
        <w:spacing w:after="0" w:line="360" w:lineRule="auto"/>
        <w:ind w:left="2160" w:hanging="720"/>
        <w:rPr>
          <w:u w:val="single"/>
        </w:rPr>
      </w:pPr>
      <w:r w:rsidRPr="001C1CAC">
        <w:rPr>
          <w:u w:val="single"/>
        </w:rPr>
        <w:t>(d)</w:t>
      </w:r>
      <w:r w:rsidRPr="001C1CAC">
        <w:rPr>
          <w:u w:val="single"/>
        </w:rPr>
        <w:tab/>
        <w:t>Supporting scient</w:t>
      </w:r>
      <w:r>
        <w:rPr>
          <w:u w:val="single"/>
        </w:rPr>
        <w:t>ific information and references;</w:t>
      </w:r>
    </w:p>
    <w:p w:rsidR="00383DA9" w:rsidRDefault="00383DA9" w:rsidP="00AA6763">
      <w:pPr>
        <w:widowControl w:val="0"/>
        <w:spacing w:after="0" w:line="360" w:lineRule="auto"/>
        <w:ind w:left="2160" w:hanging="720"/>
        <w:rPr>
          <w:u w:val="single"/>
        </w:rPr>
      </w:pPr>
    </w:p>
    <w:p w:rsidR="00383DA9" w:rsidRPr="00261ED4" w:rsidRDefault="00383DA9" w:rsidP="00383DA9">
      <w:pPr>
        <w:widowControl w:val="0"/>
        <w:spacing w:after="0" w:line="360" w:lineRule="auto"/>
        <w:ind w:left="1440" w:hanging="720"/>
        <w:rPr>
          <w:u w:val="single"/>
        </w:rPr>
      </w:pPr>
      <w:r w:rsidRPr="00261ED4">
        <w:rPr>
          <w:u w:val="single"/>
        </w:rPr>
        <w:t>(</w:t>
      </w:r>
      <w:r w:rsidR="005C6CCD">
        <w:rPr>
          <w:u w:val="single"/>
        </w:rPr>
        <w:t>8</w:t>
      </w:r>
      <w:r w:rsidRPr="00261ED4">
        <w:rPr>
          <w:u w:val="single"/>
        </w:rPr>
        <w:t>)</w:t>
      </w:r>
      <w:r w:rsidRPr="00261ED4">
        <w:rPr>
          <w:u w:val="single"/>
        </w:rPr>
        <w:tab/>
      </w:r>
      <w:r>
        <w:rPr>
          <w:u w:val="single"/>
        </w:rPr>
        <w:t xml:space="preserve">NUTRIENT CREDIT FOR INDIVIDUAL </w:t>
      </w:r>
      <w:r w:rsidR="00056731">
        <w:rPr>
          <w:u w:val="single"/>
        </w:rPr>
        <w:t>PRACTICES</w:t>
      </w:r>
      <w:r w:rsidRPr="00261ED4">
        <w:rPr>
          <w:u w:val="single"/>
        </w:rPr>
        <w:t xml:space="preserve">.  </w:t>
      </w:r>
      <w:r w:rsidR="00365E2E">
        <w:rPr>
          <w:u w:val="single"/>
        </w:rPr>
        <w:t>Where a practice type’s</w:t>
      </w:r>
      <w:r>
        <w:rPr>
          <w:u w:val="single"/>
        </w:rPr>
        <w:t xml:space="preserve"> nutrient performance is insufficiently documented to meet all the requirements of Item (</w:t>
      </w:r>
      <w:r w:rsidR="00EF6D67">
        <w:rPr>
          <w:u w:val="single"/>
        </w:rPr>
        <w:t>7</w:t>
      </w:r>
      <w:r>
        <w:rPr>
          <w:u w:val="single"/>
        </w:rPr>
        <w:t xml:space="preserve">) a </w:t>
      </w:r>
      <w:r w:rsidR="00FC221F">
        <w:rPr>
          <w:u w:val="single"/>
        </w:rPr>
        <w:t xml:space="preserve">regulated </w:t>
      </w:r>
      <w:r>
        <w:rPr>
          <w:u w:val="single"/>
        </w:rPr>
        <w:t xml:space="preserve">party may seek credit for load reductions from an individual installation of that </w:t>
      </w:r>
      <w:r w:rsidR="00056731">
        <w:rPr>
          <w:u w:val="single"/>
        </w:rPr>
        <w:t>practice</w:t>
      </w:r>
      <w:r>
        <w:rPr>
          <w:u w:val="single"/>
        </w:rPr>
        <w:t xml:space="preserve"> by </w:t>
      </w:r>
      <w:r w:rsidR="00365E2E">
        <w:rPr>
          <w:u w:val="single"/>
        </w:rPr>
        <w:t>monitoring the installations performance until</w:t>
      </w:r>
      <w:r>
        <w:rPr>
          <w:u w:val="single"/>
        </w:rPr>
        <w:t xml:space="preserve"> a presumptive lifetime credit value for the</w:t>
      </w:r>
      <w:r w:rsidR="00056731">
        <w:rPr>
          <w:u w:val="single"/>
        </w:rPr>
        <w:t xml:space="preserve"> practice</w:t>
      </w:r>
      <w:r w:rsidR="00365E2E">
        <w:rPr>
          <w:u w:val="single"/>
        </w:rPr>
        <w:t xml:space="preserve"> can be established</w:t>
      </w:r>
      <w:r w:rsidR="00056731">
        <w:rPr>
          <w:u w:val="single"/>
        </w:rPr>
        <w:t>.</w:t>
      </w:r>
      <w:r w:rsidR="00EF6D67">
        <w:rPr>
          <w:u w:val="single"/>
        </w:rPr>
        <w:t xml:space="preserve"> The </w:t>
      </w:r>
      <w:r w:rsidR="00EF6D67">
        <w:rPr>
          <w:u w:val="single"/>
        </w:rPr>
        <w:t>credit award would be annual and retroactive, based on the Division’s acceptance of monitoring results for the preceding year until such time it is determined further monitoring is no longer needed to establish and verify the lifetime credit value</w:t>
      </w:r>
      <w:r w:rsidR="00EF6D67">
        <w:rPr>
          <w:u w:val="single"/>
        </w:rPr>
        <w:t>.</w:t>
      </w:r>
      <w:r w:rsidR="00056731">
        <w:rPr>
          <w:u w:val="single"/>
        </w:rPr>
        <w:t xml:space="preserve"> The </w:t>
      </w:r>
      <w:r w:rsidR="00FC221F">
        <w:rPr>
          <w:u w:val="single"/>
        </w:rPr>
        <w:t>proposal</w:t>
      </w:r>
      <w:r w:rsidR="00056731">
        <w:rPr>
          <w:u w:val="single"/>
        </w:rPr>
        <w:t xml:space="preserve"> for</w:t>
      </w:r>
      <w:r w:rsidR="00FC221F">
        <w:rPr>
          <w:u w:val="single"/>
        </w:rPr>
        <w:t xml:space="preserve"> an</w:t>
      </w:r>
      <w:r w:rsidR="00056731">
        <w:rPr>
          <w:u w:val="single"/>
        </w:rPr>
        <w:t xml:space="preserve"> individual practices </w:t>
      </w:r>
      <w:r w:rsidR="00FC221F">
        <w:rPr>
          <w:u w:val="single"/>
        </w:rPr>
        <w:t>shall meet the following criteria</w:t>
      </w:r>
      <w:r w:rsidR="00056731">
        <w:rPr>
          <w:u w:val="single"/>
        </w:rPr>
        <w:t>:</w:t>
      </w:r>
      <w:r>
        <w:rPr>
          <w:u w:val="single"/>
        </w:rPr>
        <w:t xml:space="preserve"> </w:t>
      </w:r>
      <w:r w:rsidRPr="00261ED4">
        <w:rPr>
          <w:u w:val="single"/>
        </w:rPr>
        <w:t xml:space="preserve">  </w:t>
      </w:r>
    </w:p>
    <w:p w:rsidR="009B1F30" w:rsidRDefault="009B1F30" w:rsidP="00383DA9">
      <w:pPr>
        <w:widowControl w:val="0"/>
        <w:spacing w:after="0" w:line="360" w:lineRule="auto"/>
        <w:ind w:left="2160" w:hanging="720"/>
        <w:rPr>
          <w:u w:val="single"/>
        </w:rPr>
      </w:pPr>
      <w:r>
        <w:rPr>
          <w:u w:val="single"/>
        </w:rPr>
        <w:t>(a)</w:t>
      </w:r>
      <w:r>
        <w:rPr>
          <w:u w:val="single"/>
        </w:rPr>
        <w:tab/>
        <w:t>A monitoring plan and quality assurance plan approved by the Division prior to initiating the project;</w:t>
      </w:r>
      <w:r w:rsidR="00180311">
        <w:rPr>
          <w:u w:val="single"/>
        </w:rPr>
        <w:t xml:space="preserve"> and</w:t>
      </w:r>
    </w:p>
    <w:p w:rsidR="00056731" w:rsidRDefault="009B1F30" w:rsidP="00470688">
      <w:pPr>
        <w:widowControl w:val="0"/>
        <w:spacing w:after="0" w:line="360" w:lineRule="auto"/>
        <w:ind w:left="2160" w:hanging="720"/>
        <w:rPr>
          <w:u w:val="single"/>
        </w:rPr>
      </w:pPr>
      <w:r w:rsidRPr="00261ED4">
        <w:rPr>
          <w:u w:val="single"/>
        </w:rPr>
        <w:t>(</w:t>
      </w:r>
      <w:r>
        <w:rPr>
          <w:u w:val="single"/>
        </w:rPr>
        <w:t>b</w:t>
      </w:r>
      <w:r w:rsidRPr="00261ED4">
        <w:rPr>
          <w:u w:val="single"/>
        </w:rPr>
        <w:t>)</w:t>
      </w:r>
      <w:r w:rsidRPr="00261ED4">
        <w:rPr>
          <w:u w:val="single"/>
        </w:rPr>
        <w:tab/>
      </w:r>
      <w:r>
        <w:rPr>
          <w:u w:val="single"/>
        </w:rPr>
        <w:t>A minimum of five years of monitoring to support establishment of lifetime credit values, unless information can be provided to the Division demonstrating that a shorter mon</w:t>
      </w:r>
      <w:r w:rsidR="00180311">
        <w:rPr>
          <w:u w:val="single"/>
        </w:rPr>
        <w:t>itoring time span is sufficient.</w:t>
      </w:r>
    </w:p>
    <w:p w:rsidR="00AA6763" w:rsidRDefault="00AA6763" w:rsidP="00C63E25">
      <w:pPr>
        <w:pStyle w:val="SubItemLvl2"/>
        <w:spacing w:line="360" w:lineRule="auto"/>
        <w:ind w:left="0" w:firstLine="0"/>
        <w:rPr>
          <w:rFonts w:asciiTheme="minorHAnsi" w:hAnsiTheme="minorHAnsi"/>
          <w:sz w:val="22"/>
          <w:szCs w:val="22"/>
          <w:u w:val="single"/>
        </w:rPr>
      </w:pPr>
    </w:p>
    <w:p w:rsidR="00B97118" w:rsidRDefault="00B97118" w:rsidP="00C63E25">
      <w:pPr>
        <w:pStyle w:val="SubItemLvl2"/>
        <w:spacing w:line="360" w:lineRule="auto"/>
        <w:ind w:left="0" w:firstLine="0"/>
        <w:rPr>
          <w:rFonts w:asciiTheme="minorHAnsi" w:hAnsiTheme="minorHAnsi"/>
          <w:sz w:val="22"/>
          <w:szCs w:val="22"/>
          <w:u w:val="single"/>
        </w:rPr>
      </w:pPr>
    </w:p>
    <w:p w:rsidR="00B97118" w:rsidRDefault="00B97118" w:rsidP="00C63E25">
      <w:pPr>
        <w:pStyle w:val="SubItemLvl2"/>
        <w:spacing w:line="360" w:lineRule="auto"/>
        <w:ind w:left="0" w:firstLine="0"/>
        <w:rPr>
          <w:rFonts w:asciiTheme="minorHAnsi" w:hAnsiTheme="minorHAnsi"/>
          <w:sz w:val="22"/>
          <w:szCs w:val="22"/>
          <w:u w:val="single"/>
        </w:rPr>
      </w:pPr>
    </w:p>
    <w:p w:rsidR="00B97118" w:rsidRDefault="00B97118" w:rsidP="00C63E25">
      <w:pPr>
        <w:pStyle w:val="SubItemLvl2"/>
        <w:spacing w:line="360" w:lineRule="auto"/>
        <w:ind w:left="0" w:firstLine="0"/>
        <w:rPr>
          <w:rFonts w:asciiTheme="minorHAnsi" w:hAnsiTheme="minorHAnsi"/>
          <w:sz w:val="22"/>
          <w:szCs w:val="22"/>
          <w:u w:val="single"/>
        </w:rPr>
      </w:pPr>
    </w:p>
    <w:p w:rsidR="00B97118" w:rsidRDefault="00B97118" w:rsidP="00C63E25">
      <w:pPr>
        <w:pStyle w:val="SubItemLvl2"/>
        <w:spacing w:line="360" w:lineRule="auto"/>
        <w:ind w:left="0" w:firstLine="0"/>
        <w:rPr>
          <w:rFonts w:asciiTheme="minorHAnsi" w:hAnsiTheme="minorHAnsi"/>
          <w:sz w:val="22"/>
          <w:szCs w:val="22"/>
          <w:u w:val="single"/>
        </w:rPr>
      </w:pPr>
    </w:p>
    <w:p w:rsidR="00B97118" w:rsidRPr="00367412" w:rsidRDefault="00B97118" w:rsidP="00C63E25">
      <w:pPr>
        <w:pStyle w:val="SubItemLvl2"/>
        <w:spacing w:line="360" w:lineRule="auto"/>
        <w:ind w:left="0" w:firstLine="0"/>
        <w:rPr>
          <w:rFonts w:asciiTheme="minorHAnsi" w:hAnsiTheme="minorHAnsi"/>
          <w:sz w:val="22"/>
          <w:szCs w:val="22"/>
          <w:u w:val="single"/>
        </w:rPr>
      </w:pPr>
    </w:p>
    <w:p w:rsidR="00160902" w:rsidRDefault="00160902" w:rsidP="00115E2E">
      <w:pPr>
        <w:pStyle w:val="ListParagraph"/>
        <w:numPr>
          <w:ilvl w:val="0"/>
          <w:numId w:val="3"/>
        </w:numPr>
        <w:rPr>
          <w:b/>
        </w:rPr>
      </w:pPr>
      <w:r w:rsidRPr="00160902">
        <w:rPr>
          <w:b/>
        </w:rPr>
        <w:lastRenderedPageBreak/>
        <w:t xml:space="preserve">Proposed Rule Language Addressing </w:t>
      </w:r>
      <w:r>
        <w:rPr>
          <w:b/>
        </w:rPr>
        <w:t>Load Accounting Tools</w:t>
      </w:r>
      <w:r w:rsidR="00DA5002">
        <w:rPr>
          <w:b/>
        </w:rPr>
        <w:t xml:space="preserve"> (</w:t>
      </w:r>
      <w:proofErr w:type="spellStart"/>
      <w:r w:rsidR="00DA5002">
        <w:rPr>
          <w:b/>
        </w:rPr>
        <w:t>S</w:t>
      </w:r>
      <w:r w:rsidR="00D029FA">
        <w:rPr>
          <w:b/>
        </w:rPr>
        <w:t>tormwater</w:t>
      </w:r>
      <w:proofErr w:type="spellEnd"/>
      <w:r w:rsidR="00D029FA">
        <w:rPr>
          <w:b/>
        </w:rPr>
        <w:t>)</w:t>
      </w:r>
    </w:p>
    <w:p w:rsidR="00470688" w:rsidRDefault="00470688" w:rsidP="00470688">
      <w:pPr>
        <w:pStyle w:val="ListParagraph"/>
        <w:rPr>
          <w:b/>
        </w:rPr>
      </w:pPr>
      <w:r>
        <w:t xml:space="preserve">The language below addresses the </w:t>
      </w:r>
      <w:r>
        <w:t xml:space="preserve">load accounting methodology to be used for estimating </w:t>
      </w:r>
      <w:proofErr w:type="spellStart"/>
      <w:r>
        <w:t>stormwater</w:t>
      </w:r>
      <w:proofErr w:type="spellEnd"/>
      <w:r>
        <w:t xml:space="preserve"> runoff loads from post-baseline development. It</w:t>
      </w:r>
      <w:r>
        <w:t xml:space="preserve"> is proposed to be inserted in the </w:t>
      </w:r>
      <w:proofErr w:type="gramStart"/>
      <w:r>
        <w:t>Falls</w:t>
      </w:r>
      <w:proofErr w:type="gramEnd"/>
      <w:r>
        <w:t xml:space="preserve"> and Jordan Rules following </w:t>
      </w:r>
      <w:r>
        <w:t>the language</w:t>
      </w:r>
      <w:r>
        <w:t xml:space="preserve"> provided</w:t>
      </w:r>
      <w:r>
        <w:t xml:space="preserve"> in Item (8)</w:t>
      </w:r>
      <w:r>
        <w:t xml:space="preserve"> above.</w:t>
      </w:r>
    </w:p>
    <w:p w:rsidR="00A06DD3" w:rsidRDefault="00A06DD3" w:rsidP="00AA6763">
      <w:pPr>
        <w:widowControl w:val="0"/>
        <w:spacing w:after="0" w:line="360" w:lineRule="auto"/>
        <w:ind w:left="1440" w:hanging="720"/>
        <w:rPr>
          <w:u w:val="single"/>
        </w:rPr>
      </w:pPr>
      <w:r w:rsidRPr="00261ED4">
        <w:rPr>
          <w:u w:val="single"/>
        </w:rPr>
        <w:t xml:space="preserve">  (</w:t>
      </w:r>
      <w:r w:rsidR="002D4192">
        <w:rPr>
          <w:u w:val="single"/>
        </w:rPr>
        <w:t>9</w:t>
      </w:r>
      <w:r w:rsidRPr="00261ED4">
        <w:rPr>
          <w:u w:val="single"/>
        </w:rPr>
        <w:t>)</w:t>
      </w:r>
      <w:r w:rsidRPr="00261ED4">
        <w:rPr>
          <w:u w:val="single"/>
        </w:rPr>
        <w:tab/>
      </w:r>
      <w:r>
        <w:rPr>
          <w:u w:val="single"/>
        </w:rPr>
        <w:t xml:space="preserve">To estimate </w:t>
      </w:r>
      <w:proofErr w:type="spellStart"/>
      <w:r>
        <w:rPr>
          <w:u w:val="single"/>
        </w:rPr>
        <w:t>stormwater</w:t>
      </w:r>
      <w:proofErr w:type="spellEnd"/>
      <w:r>
        <w:rPr>
          <w:u w:val="single"/>
        </w:rPr>
        <w:t xml:space="preserve"> runoff loads due to post-baseline development local governments shall use the Jordan / Falls </w:t>
      </w:r>
      <w:proofErr w:type="spellStart"/>
      <w:r>
        <w:rPr>
          <w:u w:val="single"/>
        </w:rPr>
        <w:t>Stormwater</w:t>
      </w:r>
      <w:proofErr w:type="spellEnd"/>
      <w:r>
        <w:rPr>
          <w:u w:val="single"/>
        </w:rPr>
        <w:t xml:space="preserve"> Nutrient Load Accounting Tool, or any subsequent revisions to it, or an equivalen</w:t>
      </w:r>
      <w:r w:rsidR="00AA6763">
        <w:rPr>
          <w:u w:val="single"/>
        </w:rPr>
        <w:t>t</w:t>
      </w:r>
      <w:r>
        <w:rPr>
          <w:u w:val="single"/>
        </w:rPr>
        <w:t xml:space="preserve"> </w:t>
      </w:r>
      <w:r w:rsidR="00AA6763">
        <w:rPr>
          <w:u w:val="single"/>
        </w:rPr>
        <w:t>alternative or more accurate accounting method reviewed and approved by the Division.</w:t>
      </w:r>
      <w:r>
        <w:rPr>
          <w:u w:val="single"/>
        </w:rPr>
        <w:t xml:space="preserve"> </w:t>
      </w:r>
    </w:p>
    <w:p w:rsidR="0034643F" w:rsidRPr="000C340D" w:rsidRDefault="0034643F" w:rsidP="00AA6763">
      <w:pPr>
        <w:rPr>
          <w:u w:val="single"/>
        </w:rPr>
      </w:pPr>
    </w:p>
    <w:p w:rsidR="00160902" w:rsidRDefault="00115E2E" w:rsidP="00115E2E">
      <w:pPr>
        <w:rPr>
          <w:b/>
          <w:i/>
        </w:rPr>
      </w:pPr>
      <w:r w:rsidRPr="00765556">
        <w:rPr>
          <w:b/>
          <w:i/>
        </w:rPr>
        <w:t xml:space="preserve">Annual Reporting </w:t>
      </w:r>
      <w:r w:rsidR="003A2AC0">
        <w:rPr>
          <w:b/>
          <w:i/>
        </w:rPr>
        <w:t>(Falls &amp; Jordan)</w:t>
      </w:r>
    </w:p>
    <w:p w:rsidR="00160902" w:rsidRDefault="00160902" w:rsidP="00115E2E">
      <w:pPr>
        <w:pStyle w:val="ListParagraph"/>
        <w:numPr>
          <w:ilvl w:val="0"/>
          <w:numId w:val="3"/>
        </w:numPr>
        <w:rPr>
          <w:b/>
        </w:rPr>
      </w:pPr>
      <w:r w:rsidRPr="00160902">
        <w:rPr>
          <w:b/>
        </w:rPr>
        <w:t xml:space="preserve">Proposed Rule Language Addressing </w:t>
      </w:r>
      <w:r>
        <w:rPr>
          <w:b/>
        </w:rPr>
        <w:t>Elements to address in Annual Reports</w:t>
      </w:r>
      <w:r w:rsidRPr="00160902">
        <w:rPr>
          <w:b/>
        </w:rPr>
        <w:t xml:space="preserve"> </w:t>
      </w:r>
    </w:p>
    <w:p w:rsidR="002D4192" w:rsidRDefault="002D4192" w:rsidP="002D4192">
      <w:pPr>
        <w:pStyle w:val="ListParagraph"/>
        <w:rPr>
          <w:b/>
        </w:rPr>
      </w:pPr>
      <w:r>
        <w:t xml:space="preserve">The language below addresses the </w:t>
      </w:r>
      <w:r>
        <w:t xml:space="preserve">required elements of a local </w:t>
      </w:r>
      <w:bookmarkStart w:id="0" w:name="_GoBack"/>
      <w:bookmarkEnd w:id="0"/>
      <w:r w:rsidR="00203E2A">
        <w:t>government’s</w:t>
      </w:r>
      <w:r>
        <w:t xml:space="preserve"> annual report documenting implementation of the rule requirements</w:t>
      </w:r>
      <w:r>
        <w:t xml:space="preserve">. It is proposed to be inserted in the Falls </w:t>
      </w:r>
      <w:r>
        <w:t>“Rule Implementation Section” replacing Sub-Item (7</w:t>
      </w:r>
      <w:proofErr w:type="gramStart"/>
      <w:r>
        <w:t>)(</w:t>
      </w:r>
      <w:proofErr w:type="gramEnd"/>
      <w:r>
        <w:t xml:space="preserve">e) </w:t>
      </w:r>
      <w:r>
        <w:t>and</w:t>
      </w:r>
      <w:r>
        <w:t xml:space="preserve"> in the</w:t>
      </w:r>
      <w:r w:rsidR="00B97118">
        <w:t xml:space="preserve"> Jordan Rule</w:t>
      </w:r>
      <w:r>
        <w:t xml:space="preserve"> </w:t>
      </w:r>
      <w:r w:rsidR="00B97118">
        <w:t>replacing the current annual reporting language in Item (12).</w:t>
      </w:r>
    </w:p>
    <w:p w:rsidR="002D4192" w:rsidRPr="00160902" w:rsidRDefault="002D4192" w:rsidP="002D4192">
      <w:pPr>
        <w:pStyle w:val="ListParagraph"/>
        <w:rPr>
          <w:b/>
        </w:rPr>
      </w:pPr>
    </w:p>
    <w:p w:rsidR="00115E2E" w:rsidRPr="00AA6763" w:rsidRDefault="00115E2E" w:rsidP="00115E2E">
      <w:pPr>
        <w:widowControl w:val="0"/>
        <w:spacing w:after="0" w:line="360" w:lineRule="auto"/>
        <w:ind w:left="720" w:hanging="720"/>
        <w:rPr>
          <w:u w:val="single"/>
        </w:rPr>
      </w:pPr>
      <w:r w:rsidRPr="003A2AC0">
        <w:rPr>
          <w:u w:val="single"/>
        </w:rPr>
        <w:t>(</w:t>
      </w:r>
      <w:r w:rsidR="000D18E2">
        <w:rPr>
          <w:u w:val="single"/>
        </w:rPr>
        <w:t>10</w:t>
      </w:r>
      <w:r w:rsidRPr="003A2AC0">
        <w:rPr>
          <w:u w:val="single"/>
        </w:rPr>
        <w:t>)</w:t>
      </w:r>
      <w:r w:rsidRPr="003A2AC0">
        <w:rPr>
          <w:u w:val="single"/>
        </w:rPr>
        <w:tab/>
        <w:t xml:space="preserve">Annual Reports.  </w:t>
      </w:r>
      <w:r w:rsidR="00AA6763">
        <w:rPr>
          <w:u w:val="single"/>
        </w:rPr>
        <w:t xml:space="preserve">Upon Implementation of the programs required under Item (x) of this Rule, local governments shall provide annual reports to the Division documenting their progress in </w:t>
      </w:r>
      <w:r w:rsidR="00455EF8">
        <w:rPr>
          <w:u w:val="single"/>
        </w:rPr>
        <w:t xml:space="preserve">implementing </w:t>
      </w:r>
      <w:r w:rsidR="00AA6763">
        <w:rPr>
          <w:u w:val="single"/>
        </w:rPr>
        <w:t>those requirements within three months following each anniversary of program implementation date until such time the Commission determines they are no longer needed to ensure maintenance of reductions or that standards are protected.</w:t>
      </w:r>
      <w:r w:rsidR="00AA6763" w:rsidRPr="003A2AC0">
        <w:rPr>
          <w:u w:val="single"/>
        </w:rPr>
        <w:t xml:space="preserve"> The</w:t>
      </w:r>
      <w:r w:rsidRPr="003A2AC0">
        <w:rPr>
          <w:u w:val="single"/>
        </w:rPr>
        <w:t xml:space="preserve"> following items shall be </w:t>
      </w:r>
      <w:r w:rsidR="00F425B6" w:rsidRPr="00AA6763">
        <w:rPr>
          <w:u w:val="single"/>
        </w:rPr>
        <w:t>addressed</w:t>
      </w:r>
      <w:r w:rsidRPr="00AA6763">
        <w:rPr>
          <w:u w:val="single"/>
        </w:rPr>
        <w:t xml:space="preserve"> </w:t>
      </w:r>
      <w:r w:rsidR="00F425B6" w:rsidRPr="00AA6763">
        <w:rPr>
          <w:u w:val="single"/>
        </w:rPr>
        <w:t>in a local government’s annual report</w:t>
      </w:r>
      <w:r w:rsidRPr="00AA6763">
        <w:rPr>
          <w:u w:val="single"/>
        </w:rPr>
        <w:t>:</w:t>
      </w:r>
    </w:p>
    <w:p w:rsidR="00115E2E" w:rsidRPr="00AA6763" w:rsidRDefault="00115E2E" w:rsidP="00AA6763">
      <w:pPr>
        <w:pStyle w:val="ListParagraph"/>
        <w:widowControl w:val="0"/>
        <w:numPr>
          <w:ilvl w:val="0"/>
          <w:numId w:val="7"/>
        </w:numPr>
        <w:spacing w:after="0" w:line="360" w:lineRule="auto"/>
        <w:rPr>
          <w:u w:val="single"/>
        </w:rPr>
      </w:pPr>
      <w:r w:rsidRPr="00AA6763">
        <w:rPr>
          <w:u w:val="single"/>
        </w:rPr>
        <w:t>Summary of existing development load reducing activities implemented and terminated including:</w:t>
      </w:r>
    </w:p>
    <w:p w:rsidR="00115E2E" w:rsidRDefault="00115E2E" w:rsidP="00AA6763">
      <w:pPr>
        <w:pStyle w:val="ListParagraph"/>
        <w:numPr>
          <w:ilvl w:val="1"/>
          <w:numId w:val="7"/>
        </w:numPr>
        <w:spacing w:line="360" w:lineRule="auto"/>
        <w:rPr>
          <w:u w:val="single"/>
        </w:rPr>
      </w:pPr>
      <w:r w:rsidRPr="003A2AC0">
        <w:rPr>
          <w:u w:val="single"/>
        </w:rPr>
        <w:t>Types and number of new activities implemented and any terminated for that reporting cycle</w:t>
      </w:r>
      <w:r w:rsidR="00F425B6">
        <w:rPr>
          <w:u w:val="single"/>
        </w:rPr>
        <w:t>;</w:t>
      </w:r>
    </w:p>
    <w:p w:rsidR="00EF6D67" w:rsidRPr="003A2AC0" w:rsidRDefault="00EF6D67" w:rsidP="00AA6763">
      <w:pPr>
        <w:pStyle w:val="ListParagraph"/>
        <w:numPr>
          <w:ilvl w:val="1"/>
          <w:numId w:val="7"/>
        </w:numPr>
        <w:spacing w:line="360" w:lineRule="auto"/>
        <w:rPr>
          <w:u w:val="single"/>
        </w:rPr>
      </w:pPr>
      <w:r>
        <w:rPr>
          <w:u w:val="single"/>
        </w:rPr>
        <w:t>Basic characterization and quantification of each practice;</w:t>
      </w:r>
    </w:p>
    <w:p w:rsidR="00115E2E" w:rsidRPr="003A2AC0" w:rsidRDefault="00115E2E" w:rsidP="00AA6763">
      <w:pPr>
        <w:pStyle w:val="ListParagraph"/>
        <w:numPr>
          <w:ilvl w:val="1"/>
          <w:numId w:val="7"/>
        </w:numPr>
        <w:spacing w:line="360" w:lineRule="auto"/>
        <w:rPr>
          <w:u w:val="single"/>
        </w:rPr>
      </w:pPr>
      <w:r w:rsidRPr="003A2AC0">
        <w:rPr>
          <w:u w:val="single"/>
        </w:rPr>
        <w:t>Estimated annual  reductions or increases from each activity (</w:t>
      </w:r>
      <w:proofErr w:type="spellStart"/>
      <w:r w:rsidRPr="003A2AC0">
        <w:rPr>
          <w:u w:val="single"/>
        </w:rPr>
        <w:t>lb</w:t>
      </w:r>
      <w:proofErr w:type="spellEnd"/>
      <w:r w:rsidRPr="003A2AC0">
        <w:rPr>
          <w:u w:val="single"/>
        </w:rPr>
        <w:t>/</w:t>
      </w:r>
      <w:proofErr w:type="spellStart"/>
      <w:r w:rsidRPr="003A2AC0">
        <w:rPr>
          <w:u w:val="single"/>
        </w:rPr>
        <w:t>yr</w:t>
      </w:r>
      <w:proofErr w:type="spellEnd"/>
      <w:r w:rsidRPr="003A2AC0">
        <w:rPr>
          <w:u w:val="single"/>
        </w:rPr>
        <w:t>)</w:t>
      </w:r>
      <w:r w:rsidR="00F425B6">
        <w:rPr>
          <w:u w:val="single"/>
        </w:rPr>
        <w:t>;</w:t>
      </w:r>
    </w:p>
    <w:p w:rsidR="00115E2E" w:rsidRPr="003A2AC0" w:rsidRDefault="00115E2E" w:rsidP="00AA6763">
      <w:pPr>
        <w:pStyle w:val="ListParagraph"/>
        <w:numPr>
          <w:ilvl w:val="1"/>
          <w:numId w:val="7"/>
        </w:numPr>
        <w:spacing w:line="360" w:lineRule="auto"/>
        <w:rPr>
          <w:u w:val="single"/>
        </w:rPr>
      </w:pPr>
      <w:r w:rsidRPr="003A2AC0">
        <w:rPr>
          <w:u w:val="single"/>
        </w:rPr>
        <w:t>Duration of anticipated loading reductions for new activities (</w:t>
      </w:r>
      <w:proofErr w:type="spellStart"/>
      <w:r w:rsidRPr="003A2AC0">
        <w:rPr>
          <w:u w:val="single"/>
        </w:rPr>
        <w:t>yrs</w:t>
      </w:r>
      <w:proofErr w:type="spellEnd"/>
      <w:r w:rsidRPr="003A2AC0">
        <w:rPr>
          <w:u w:val="single"/>
        </w:rPr>
        <w:t>)</w:t>
      </w:r>
      <w:r w:rsidR="00F425B6">
        <w:rPr>
          <w:u w:val="single"/>
        </w:rPr>
        <w:t>;</w:t>
      </w:r>
    </w:p>
    <w:p w:rsidR="00115E2E" w:rsidRPr="003A2AC0" w:rsidRDefault="00115E2E" w:rsidP="00AA6763">
      <w:pPr>
        <w:pStyle w:val="ListParagraph"/>
        <w:numPr>
          <w:ilvl w:val="1"/>
          <w:numId w:val="7"/>
        </w:numPr>
        <w:spacing w:line="360" w:lineRule="auto"/>
        <w:rPr>
          <w:u w:val="single"/>
        </w:rPr>
      </w:pPr>
      <w:r w:rsidRPr="003A2AC0">
        <w:rPr>
          <w:u w:val="single"/>
        </w:rPr>
        <w:t>Type and number of measures due and proposed for credit renewal, and annual reductions affected (</w:t>
      </w:r>
      <w:proofErr w:type="spellStart"/>
      <w:r w:rsidRPr="003A2AC0">
        <w:rPr>
          <w:u w:val="single"/>
        </w:rPr>
        <w:t>lb</w:t>
      </w:r>
      <w:proofErr w:type="spellEnd"/>
      <w:r w:rsidRPr="003A2AC0">
        <w:rPr>
          <w:u w:val="single"/>
        </w:rPr>
        <w:t>/</w:t>
      </w:r>
      <w:proofErr w:type="spellStart"/>
      <w:r w:rsidRPr="003A2AC0">
        <w:rPr>
          <w:u w:val="single"/>
        </w:rPr>
        <w:t>yr</w:t>
      </w:r>
      <w:proofErr w:type="spellEnd"/>
      <w:r w:rsidRPr="003A2AC0">
        <w:rPr>
          <w:u w:val="single"/>
        </w:rPr>
        <w:t>);</w:t>
      </w:r>
    </w:p>
    <w:p w:rsidR="00F425B6" w:rsidRDefault="00115E2E" w:rsidP="00AA6763">
      <w:pPr>
        <w:pStyle w:val="ListParagraph"/>
        <w:numPr>
          <w:ilvl w:val="1"/>
          <w:numId w:val="7"/>
        </w:numPr>
        <w:spacing w:line="360" w:lineRule="auto"/>
        <w:rPr>
          <w:u w:val="single"/>
        </w:rPr>
      </w:pPr>
      <w:r w:rsidRPr="003A2AC0">
        <w:rPr>
          <w:u w:val="single"/>
        </w:rPr>
        <w:t>Costs/efficiencies of each activity to maximum extent practicable; and</w:t>
      </w:r>
    </w:p>
    <w:p w:rsidR="00A025C5" w:rsidRPr="00455EF8" w:rsidRDefault="00115E2E" w:rsidP="00A025C5">
      <w:pPr>
        <w:pStyle w:val="ListParagraph"/>
        <w:numPr>
          <w:ilvl w:val="1"/>
          <w:numId w:val="7"/>
        </w:numPr>
        <w:spacing w:line="360" w:lineRule="auto"/>
        <w:rPr>
          <w:u w:val="single"/>
        </w:rPr>
      </w:pPr>
      <w:r w:rsidRPr="00F425B6">
        <w:rPr>
          <w:u w:val="single"/>
        </w:rPr>
        <w:lastRenderedPageBreak/>
        <w:t>Total annual expenditures including local government funds and state &amp; federal grants.</w:t>
      </w:r>
    </w:p>
    <w:p w:rsidR="00115E2E" w:rsidRPr="003A2AC0" w:rsidRDefault="00115E2E" w:rsidP="00AA6763">
      <w:pPr>
        <w:pStyle w:val="ListParagraph"/>
        <w:numPr>
          <w:ilvl w:val="0"/>
          <w:numId w:val="7"/>
        </w:numPr>
        <w:spacing w:line="360" w:lineRule="auto"/>
        <w:rPr>
          <w:u w:val="single"/>
        </w:rPr>
      </w:pPr>
      <w:r w:rsidRPr="003A2AC0">
        <w:rPr>
          <w:u w:val="single"/>
        </w:rPr>
        <w:t>Accounting / Tracking Progress</w:t>
      </w:r>
    </w:p>
    <w:p w:rsidR="00115E2E" w:rsidRPr="003A2AC0" w:rsidRDefault="00115E2E" w:rsidP="00AA6763">
      <w:pPr>
        <w:pStyle w:val="ListParagraph"/>
        <w:numPr>
          <w:ilvl w:val="1"/>
          <w:numId w:val="7"/>
        </w:numPr>
        <w:spacing w:line="360" w:lineRule="auto"/>
        <w:rPr>
          <w:u w:val="single"/>
        </w:rPr>
      </w:pPr>
      <w:r w:rsidRPr="003A2AC0">
        <w:rPr>
          <w:u w:val="single"/>
        </w:rPr>
        <w:t>Reductions achieved by new measures, load increases from terminated measures, and resulting net change in loading from actions taken in that reporting cycle (</w:t>
      </w:r>
      <w:proofErr w:type="spellStart"/>
      <w:r w:rsidRPr="003A2AC0">
        <w:rPr>
          <w:u w:val="single"/>
        </w:rPr>
        <w:t>lb</w:t>
      </w:r>
      <w:proofErr w:type="spellEnd"/>
      <w:r w:rsidRPr="003A2AC0">
        <w:rPr>
          <w:u w:val="single"/>
        </w:rPr>
        <w:t>/</w:t>
      </w:r>
      <w:proofErr w:type="spellStart"/>
      <w:r w:rsidRPr="003A2AC0">
        <w:rPr>
          <w:u w:val="single"/>
        </w:rPr>
        <w:t>yr</w:t>
      </w:r>
      <w:proofErr w:type="spellEnd"/>
      <w:r w:rsidRPr="003A2AC0">
        <w:rPr>
          <w:u w:val="single"/>
        </w:rPr>
        <w:t xml:space="preserve">) </w:t>
      </w:r>
    </w:p>
    <w:p w:rsidR="00115E2E" w:rsidRPr="003A2AC0" w:rsidRDefault="00115E2E" w:rsidP="00AA6763">
      <w:pPr>
        <w:pStyle w:val="ListParagraph"/>
        <w:numPr>
          <w:ilvl w:val="1"/>
          <w:numId w:val="7"/>
        </w:numPr>
        <w:spacing w:line="360" w:lineRule="auto"/>
        <w:rPr>
          <w:u w:val="single"/>
        </w:rPr>
      </w:pPr>
      <w:r w:rsidRPr="003A2AC0">
        <w:rPr>
          <w:u w:val="single"/>
        </w:rPr>
        <w:t xml:space="preserve">Adjustments to allocations &amp; load reduction needs via annexation </w:t>
      </w:r>
    </w:p>
    <w:p w:rsidR="00115E2E" w:rsidRPr="00AA6763" w:rsidRDefault="00115E2E" w:rsidP="00AA6763">
      <w:pPr>
        <w:pStyle w:val="ListParagraph"/>
        <w:numPr>
          <w:ilvl w:val="1"/>
          <w:numId w:val="7"/>
        </w:numPr>
        <w:spacing w:line="360" w:lineRule="auto"/>
        <w:rPr>
          <w:u w:val="single"/>
        </w:rPr>
      </w:pPr>
      <w:r w:rsidRPr="003A2AC0">
        <w:rPr>
          <w:u w:val="single"/>
        </w:rPr>
        <w:t>Summary of load reduction progress and  comparison to that proposed in approved program (</w:t>
      </w:r>
      <w:proofErr w:type="spellStart"/>
      <w:r w:rsidRPr="003A2AC0">
        <w:rPr>
          <w:u w:val="single"/>
        </w:rPr>
        <w:t>lb</w:t>
      </w:r>
      <w:proofErr w:type="spellEnd"/>
      <w:r w:rsidRPr="003A2AC0">
        <w:rPr>
          <w:u w:val="single"/>
        </w:rPr>
        <w:t>/</w:t>
      </w:r>
      <w:proofErr w:type="spellStart"/>
      <w:r w:rsidRPr="003A2AC0">
        <w:rPr>
          <w:u w:val="single"/>
        </w:rPr>
        <w:t>yr</w:t>
      </w:r>
      <w:proofErr w:type="spellEnd"/>
      <w:r w:rsidRPr="003A2AC0">
        <w:rPr>
          <w:u w:val="single"/>
        </w:rPr>
        <w:t>)</w:t>
      </w:r>
    </w:p>
    <w:p w:rsidR="00115E2E" w:rsidRPr="004170B3" w:rsidRDefault="00F425B6" w:rsidP="004170B3">
      <w:pPr>
        <w:pStyle w:val="ListParagraph"/>
        <w:numPr>
          <w:ilvl w:val="0"/>
          <w:numId w:val="7"/>
        </w:numPr>
        <w:rPr>
          <w:u w:val="single"/>
        </w:rPr>
      </w:pPr>
      <w:r>
        <w:rPr>
          <w:u w:val="single"/>
        </w:rPr>
        <w:t xml:space="preserve">Summary of </w:t>
      </w:r>
      <w:r w:rsidR="00115E2E" w:rsidRPr="003A2AC0">
        <w:rPr>
          <w:u w:val="single"/>
        </w:rPr>
        <w:t>Inspection and m</w:t>
      </w:r>
      <w:r>
        <w:rPr>
          <w:u w:val="single"/>
        </w:rPr>
        <w:t>aintenance activities;</w:t>
      </w:r>
      <w:r w:rsidR="00CD6CCC">
        <w:rPr>
          <w:u w:val="single"/>
        </w:rPr>
        <w:t xml:space="preserve"> and</w:t>
      </w:r>
      <w:r w:rsidR="00115E2E" w:rsidRPr="004170B3">
        <w:rPr>
          <w:u w:val="single"/>
        </w:rPr>
        <w:br/>
      </w:r>
    </w:p>
    <w:p w:rsidR="00256ADA" w:rsidRPr="00CD6CCC" w:rsidRDefault="00115E2E" w:rsidP="000C340D">
      <w:pPr>
        <w:pStyle w:val="ListParagraph"/>
        <w:numPr>
          <w:ilvl w:val="0"/>
          <w:numId w:val="7"/>
        </w:numPr>
        <w:rPr>
          <w:u w:val="single"/>
        </w:rPr>
      </w:pPr>
      <w:r w:rsidRPr="003A2AC0">
        <w:rPr>
          <w:u w:val="single"/>
        </w:rPr>
        <w:t>Summary of anticipated activities for the next reporting period</w:t>
      </w:r>
      <w:r w:rsidR="00CD6CCC">
        <w:rPr>
          <w:u w:val="single"/>
        </w:rPr>
        <w:t>.</w:t>
      </w:r>
    </w:p>
    <w:sectPr w:rsidR="00256ADA" w:rsidRPr="00CD6C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BF" w:rsidRDefault="002E59BF" w:rsidP="004E13B9">
      <w:pPr>
        <w:spacing w:after="0" w:line="240" w:lineRule="auto"/>
      </w:pPr>
      <w:r>
        <w:separator/>
      </w:r>
    </w:p>
  </w:endnote>
  <w:endnote w:type="continuationSeparator" w:id="0">
    <w:p w:rsidR="002E59BF" w:rsidRDefault="002E59BF" w:rsidP="004E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79748"/>
      <w:docPartObj>
        <w:docPartGallery w:val="Page Numbers (Bottom of Page)"/>
        <w:docPartUnique/>
      </w:docPartObj>
    </w:sdtPr>
    <w:sdtEndPr>
      <w:rPr>
        <w:noProof/>
      </w:rPr>
    </w:sdtEndPr>
    <w:sdtContent>
      <w:p w:rsidR="00C63E25" w:rsidRDefault="00C63E25">
        <w:pPr>
          <w:pStyle w:val="Footer"/>
          <w:jc w:val="center"/>
        </w:pPr>
        <w:r>
          <w:fldChar w:fldCharType="begin"/>
        </w:r>
        <w:r>
          <w:instrText xml:space="preserve"> PAGE   \* MERGEFORMAT </w:instrText>
        </w:r>
        <w:r>
          <w:fldChar w:fldCharType="separate"/>
        </w:r>
        <w:r w:rsidR="00203E2A">
          <w:rPr>
            <w:noProof/>
          </w:rPr>
          <w:t>6</w:t>
        </w:r>
        <w:r>
          <w:rPr>
            <w:noProof/>
          </w:rPr>
          <w:fldChar w:fldCharType="end"/>
        </w:r>
      </w:p>
    </w:sdtContent>
  </w:sdt>
  <w:p w:rsidR="00C63E25" w:rsidRDefault="00C6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BF" w:rsidRDefault="002E59BF" w:rsidP="004E13B9">
      <w:pPr>
        <w:spacing w:after="0" w:line="240" w:lineRule="auto"/>
      </w:pPr>
      <w:r>
        <w:separator/>
      </w:r>
    </w:p>
  </w:footnote>
  <w:footnote w:type="continuationSeparator" w:id="0">
    <w:p w:rsidR="002E59BF" w:rsidRDefault="002E59BF" w:rsidP="004E1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B9" w:rsidRPr="004E13B9" w:rsidRDefault="004E13B9" w:rsidP="004E13B9">
    <w:pPr>
      <w:pStyle w:val="Header"/>
      <w:jc w:val="right"/>
      <w:rPr>
        <w:i/>
      </w:rPr>
    </w:pPr>
    <w:r w:rsidRPr="004E13B9">
      <w:rPr>
        <w:i/>
      </w:rPr>
      <w:t xml:space="preserve">Draft – </w:t>
    </w:r>
    <w:r w:rsidR="0072760C">
      <w:rPr>
        <w:i/>
      </w:rPr>
      <w:t xml:space="preserve">September </w:t>
    </w:r>
    <w:r w:rsidR="00AA6763">
      <w:rPr>
        <w:i/>
      </w:rPr>
      <w:t>4</w:t>
    </w:r>
    <w:r w:rsidR="004C237F">
      <w:rPr>
        <w:i/>
      </w:rPr>
      <w:t>, 2015</w:t>
    </w:r>
    <w:r w:rsidRPr="004E13B9">
      <w:rPr>
        <w:i/>
      </w:rPr>
      <w:br/>
    </w:r>
    <w:r w:rsidR="004C237F">
      <w:rPr>
        <w:i/>
      </w:rPr>
      <w:t xml:space="preserve">September </w:t>
    </w:r>
    <w:r w:rsidRPr="004E13B9">
      <w:rPr>
        <w:i/>
      </w:rPr>
      <w:t>NSAB</w:t>
    </w:r>
    <w:r>
      <w:rPr>
        <w:i/>
      </w:rPr>
      <w:t xml:space="preserve"> Handout</w:t>
    </w:r>
  </w:p>
  <w:p w:rsidR="004E13B9" w:rsidRDefault="004E1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4A2"/>
    <w:multiLevelType w:val="hybridMultilevel"/>
    <w:tmpl w:val="78D62200"/>
    <w:lvl w:ilvl="0" w:tplc="387EC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05785"/>
    <w:multiLevelType w:val="hybridMultilevel"/>
    <w:tmpl w:val="CA5E1948"/>
    <w:lvl w:ilvl="0" w:tplc="A8D22C7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A34F20"/>
    <w:multiLevelType w:val="hybridMultilevel"/>
    <w:tmpl w:val="2CA6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E7F89"/>
    <w:multiLevelType w:val="hybridMultilevel"/>
    <w:tmpl w:val="0A105D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DF6383"/>
    <w:multiLevelType w:val="hybridMultilevel"/>
    <w:tmpl w:val="9A265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348DD"/>
    <w:multiLevelType w:val="hybridMultilevel"/>
    <w:tmpl w:val="F67ED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DE58B0"/>
    <w:multiLevelType w:val="hybridMultilevel"/>
    <w:tmpl w:val="43F4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9CE612A"/>
    <w:multiLevelType w:val="hybridMultilevel"/>
    <w:tmpl w:val="AC20E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2F50AF"/>
    <w:multiLevelType w:val="hybridMultilevel"/>
    <w:tmpl w:val="3DCC2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5131DA"/>
    <w:multiLevelType w:val="hybridMultilevel"/>
    <w:tmpl w:val="581CAD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A2527F"/>
    <w:multiLevelType w:val="hybridMultilevel"/>
    <w:tmpl w:val="F996756E"/>
    <w:lvl w:ilvl="0" w:tplc="26944DE8">
      <w:start w:val="1"/>
      <w:numFmt w:val="lowerLetter"/>
      <w:lvlText w:val="(%1)"/>
      <w:lvlJc w:val="left"/>
      <w:pPr>
        <w:ind w:left="1080" w:hanging="360"/>
      </w:pPr>
      <w:rPr>
        <w:rFonts w:asciiTheme="minorHAnsi" w:eastAsiaTheme="minorHAnsi" w:hAnsiTheme="minorHAnsi" w:cstheme="minorBidi"/>
      </w:rPr>
    </w:lvl>
    <w:lvl w:ilvl="1" w:tplc="96B65462">
      <w:start w:val="1"/>
      <w:numFmt w:val="lowerRoman"/>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756149"/>
    <w:multiLevelType w:val="hybridMultilevel"/>
    <w:tmpl w:val="1714C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935ACD"/>
    <w:multiLevelType w:val="hybridMultilevel"/>
    <w:tmpl w:val="53BE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E5EEF"/>
    <w:multiLevelType w:val="hybridMultilevel"/>
    <w:tmpl w:val="F1FAA26E"/>
    <w:lvl w:ilvl="0" w:tplc="CF8A8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2"/>
  </w:num>
  <w:num w:numId="5">
    <w:abstractNumId w:val="6"/>
  </w:num>
  <w:num w:numId="6">
    <w:abstractNumId w:val="0"/>
  </w:num>
  <w:num w:numId="7">
    <w:abstractNumId w:val="10"/>
  </w:num>
  <w:num w:numId="8">
    <w:abstractNumId w:val="1"/>
  </w:num>
  <w:num w:numId="9">
    <w:abstractNumId w:val="3"/>
  </w:num>
  <w:num w:numId="10">
    <w:abstractNumId w:val="9"/>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BB"/>
    <w:rsid w:val="00031CEC"/>
    <w:rsid w:val="00056731"/>
    <w:rsid w:val="000B2872"/>
    <w:rsid w:val="000B6243"/>
    <w:rsid w:val="000C02DB"/>
    <w:rsid w:val="000C2D51"/>
    <w:rsid w:val="000C340D"/>
    <w:rsid w:val="000D18E2"/>
    <w:rsid w:val="00115E2E"/>
    <w:rsid w:val="00160902"/>
    <w:rsid w:val="00180311"/>
    <w:rsid w:val="00186A97"/>
    <w:rsid w:val="001B715A"/>
    <w:rsid w:val="001C1CAC"/>
    <w:rsid w:val="001E7A45"/>
    <w:rsid w:val="00203E2A"/>
    <w:rsid w:val="00227077"/>
    <w:rsid w:val="00234EE6"/>
    <w:rsid w:val="002361B0"/>
    <w:rsid w:val="0024404D"/>
    <w:rsid w:val="00256ADA"/>
    <w:rsid w:val="00261ED4"/>
    <w:rsid w:val="002A1D88"/>
    <w:rsid w:val="002D4192"/>
    <w:rsid w:val="002E59BF"/>
    <w:rsid w:val="003430DA"/>
    <w:rsid w:val="0034643F"/>
    <w:rsid w:val="00365E2E"/>
    <w:rsid w:val="00367412"/>
    <w:rsid w:val="00383DA9"/>
    <w:rsid w:val="0039490F"/>
    <w:rsid w:val="003950AB"/>
    <w:rsid w:val="00396BF7"/>
    <w:rsid w:val="003A2AC0"/>
    <w:rsid w:val="003C4D46"/>
    <w:rsid w:val="003F7119"/>
    <w:rsid w:val="00402B9B"/>
    <w:rsid w:val="00416896"/>
    <w:rsid w:val="004170B3"/>
    <w:rsid w:val="00427159"/>
    <w:rsid w:val="00455EF8"/>
    <w:rsid w:val="00470688"/>
    <w:rsid w:val="004C237F"/>
    <w:rsid w:val="004C4991"/>
    <w:rsid w:val="004E13B9"/>
    <w:rsid w:val="004E3267"/>
    <w:rsid w:val="005026B2"/>
    <w:rsid w:val="0051285D"/>
    <w:rsid w:val="00550FE1"/>
    <w:rsid w:val="00552F89"/>
    <w:rsid w:val="00554532"/>
    <w:rsid w:val="00576DFC"/>
    <w:rsid w:val="0058371D"/>
    <w:rsid w:val="005859A1"/>
    <w:rsid w:val="00597C5C"/>
    <w:rsid w:val="005A18EB"/>
    <w:rsid w:val="005A1FBB"/>
    <w:rsid w:val="005A2EA3"/>
    <w:rsid w:val="005C6CCD"/>
    <w:rsid w:val="005E3BD4"/>
    <w:rsid w:val="006273FD"/>
    <w:rsid w:val="00633E36"/>
    <w:rsid w:val="00680E40"/>
    <w:rsid w:val="006A3ADE"/>
    <w:rsid w:val="006A4387"/>
    <w:rsid w:val="006D35EE"/>
    <w:rsid w:val="006D729A"/>
    <w:rsid w:val="006D7636"/>
    <w:rsid w:val="00700971"/>
    <w:rsid w:val="0072760C"/>
    <w:rsid w:val="0073286F"/>
    <w:rsid w:val="00746C0B"/>
    <w:rsid w:val="00756AD2"/>
    <w:rsid w:val="00765556"/>
    <w:rsid w:val="00771083"/>
    <w:rsid w:val="007C2942"/>
    <w:rsid w:val="007C39AA"/>
    <w:rsid w:val="007F1762"/>
    <w:rsid w:val="00800389"/>
    <w:rsid w:val="0080618B"/>
    <w:rsid w:val="00887FB1"/>
    <w:rsid w:val="00900007"/>
    <w:rsid w:val="009035E1"/>
    <w:rsid w:val="00961F85"/>
    <w:rsid w:val="009662A2"/>
    <w:rsid w:val="00985619"/>
    <w:rsid w:val="009B1F30"/>
    <w:rsid w:val="00A025C5"/>
    <w:rsid w:val="00A06DD3"/>
    <w:rsid w:val="00A11DEB"/>
    <w:rsid w:val="00A221F7"/>
    <w:rsid w:val="00A749EC"/>
    <w:rsid w:val="00AA6763"/>
    <w:rsid w:val="00AE59FF"/>
    <w:rsid w:val="00B11FA1"/>
    <w:rsid w:val="00B6372B"/>
    <w:rsid w:val="00B6636F"/>
    <w:rsid w:val="00B97118"/>
    <w:rsid w:val="00BA57BF"/>
    <w:rsid w:val="00BE045A"/>
    <w:rsid w:val="00C10F1F"/>
    <w:rsid w:val="00C257D0"/>
    <w:rsid w:val="00C63E25"/>
    <w:rsid w:val="00CC2483"/>
    <w:rsid w:val="00CD6CCC"/>
    <w:rsid w:val="00D029FA"/>
    <w:rsid w:val="00D0389D"/>
    <w:rsid w:val="00D24485"/>
    <w:rsid w:val="00D43A14"/>
    <w:rsid w:val="00D72CD5"/>
    <w:rsid w:val="00D82120"/>
    <w:rsid w:val="00DA5002"/>
    <w:rsid w:val="00DB0D66"/>
    <w:rsid w:val="00DC1967"/>
    <w:rsid w:val="00E1227C"/>
    <w:rsid w:val="00E20A8C"/>
    <w:rsid w:val="00E73AE5"/>
    <w:rsid w:val="00EA7F88"/>
    <w:rsid w:val="00EF508C"/>
    <w:rsid w:val="00EF6D67"/>
    <w:rsid w:val="00F15D28"/>
    <w:rsid w:val="00F425B6"/>
    <w:rsid w:val="00F54214"/>
    <w:rsid w:val="00F63CD9"/>
    <w:rsid w:val="00F67FD2"/>
    <w:rsid w:val="00FA1068"/>
    <w:rsid w:val="00FC221F"/>
    <w:rsid w:val="00FE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BB"/>
    <w:pPr>
      <w:ind w:left="720"/>
      <w:contextualSpacing/>
    </w:pPr>
  </w:style>
  <w:style w:type="paragraph" w:styleId="Header">
    <w:name w:val="header"/>
    <w:basedOn w:val="Normal"/>
    <w:link w:val="HeaderChar"/>
    <w:uiPriority w:val="99"/>
    <w:unhideWhenUsed/>
    <w:rsid w:val="004E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B9"/>
  </w:style>
  <w:style w:type="paragraph" w:styleId="Footer">
    <w:name w:val="footer"/>
    <w:basedOn w:val="Normal"/>
    <w:link w:val="FooterChar"/>
    <w:uiPriority w:val="99"/>
    <w:unhideWhenUsed/>
    <w:rsid w:val="004E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B9"/>
  </w:style>
  <w:style w:type="paragraph" w:styleId="BalloonText">
    <w:name w:val="Balloon Text"/>
    <w:basedOn w:val="Normal"/>
    <w:link w:val="BalloonTextChar"/>
    <w:uiPriority w:val="99"/>
    <w:semiHidden/>
    <w:unhideWhenUsed/>
    <w:rsid w:val="004E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B9"/>
    <w:rPr>
      <w:rFonts w:ascii="Tahoma" w:hAnsi="Tahoma" w:cs="Tahoma"/>
      <w:sz w:val="16"/>
      <w:szCs w:val="16"/>
    </w:rPr>
  </w:style>
  <w:style w:type="paragraph" w:customStyle="1" w:styleId="SubItemLvl1">
    <w:name w:val="SubItem Lvl 1"/>
    <w:basedOn w:val="Normal"/>
    <w:uiPriority w:val="99"/>
    <w:rsid w:val="00552F89"/>
    <w:pPr>
      <w:spacing w:after="0" w:line="240" w:lineRule="auto"/>
      <w:ind w:left="2160" w:hanging="720"/>
      <w:jc w:val="both"/>
    </w:pPr>
    <w:rPr>
      <w:rFonts w:ascii="Times New Roman" w:eastAsia="Times New Roman" w:hAnsi="Times New Roman" w:cs="Times New Roman"/>
      <w:sz w:val="20"/>
      <w:szCs w:val="20"/>
    </w:rPr>
  </w:style>
  <w:style w:type="paragraph" w:customStyle="1" w:styleId="MOBody1">
    <w:name w:val="MO Body 1"/>
    <w:basedOn w:val="Normal"/>
    <w:next w:val="Normal"/>
    <w:rsid w:val="003F7119"/>
    <w:pPr>
      <w:spacing w:after="240" w:line="240" w:lineRule="auto"/>
      <w:ind w:left="720"/>
    </w:pPr>
    <w:rPr>
      <w:rFonts w:ascii="Garamond" w:eastAsia="Times New Roman" w:hAnsi="Garamond" w:cs="Times New Roman"/>
      <w:szCs w:val="24"/>
    </w:rPr>
  </w:style>
  <w:style w:type="paragraph" w:customStyle="1" w:styleId="SubItemLvl2">
    <w:name w:val="SubItem Lvl 2"/>
    <w:basedOn w:val="Normal"/>
    <w:uiPriority w:val="99"/>
    <w:rsid w:val="00367412"/>
    <w:pPr>
      <w:spacing w:after="0" w:line="240" w:lineRule="auto"/>
      <w:ind w:left="2880" w:hanging="720"/>
      <w:jc w:val="both"/>
    </w:pPr>
    <w:rPr>
      <w:rFonts w:ascii="Times New Roman" w:eastAsia="Times New Roman" w:hAnsi="Times New Roman" w:cs="Times New Roman"/>
      <w:sz w:val="20"/>
      <w:szCs w:val="20"/>
    </w:rPr>
  </w:style>
  <w:style w:type="table" w:styleId="TableGrid">
    <w:name w:val="Table Grid"/>
    <w:basedOn w:val="TableNormal"/>
    <w:uiPriority w:val="59"/>
    <w:rsid w:val="000C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A57BF"/>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BA57BF"/>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BB"/>
    <w:pPr>
      <w:ind w:left="720"/>
      <w:contextualSpacing/>
    </w:pPr>
  </w:style>
  <w:style w:type="paragraph" w:styleId="Header">
    <w:name w:val="header"/>
    <w:basedOn w:val="Normal"/>
    <w:link w:val="HeaderChar"/>
    <w:uiPriority w:val="99"/>
    <w:unhideWhenUsed/>
    <w:rsid w:val="004E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B9"/>
  </w:style>
  <w:style w:type="paragraph" w:styleId="Footer">
    <w:name w:val="footer"/>
    <w:basedOn w:val="Normal"/>
    <w:link w:val="FooterChar"/>
    <w:uiPriority w:val="99"/>
    <w:unhideWhenUsed/>
    <w:rsid w:val="004E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B9"/>
  </w:style>
  <w:style w:type="paragraph" w:styleId="BalloonText">
    <w:name w:val="Balloon Text"/>
    <w:basedOn w:val="Normal"/>
    <w:link w:val="BalloonTextChar"/>
    <w:uiPriority w:val="99"/>
    <w:semiHidden/>
    <w:unhideWhenUsed/>
    <w:rsid w:val="004E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B9"/>
    <w:rPr>
      <w:rFonts w:ascii="Tahoma" w:hAnsi="Tahoma" w:cs="Tahoma"/>
      <w:sz w:val="16"/>
      <w:szCs w:val="16"/>
    </w:rPr>
  </w:style>
  <w:style w:type="paragraph" w:customStyle="1" w:styleId="SubItemLvl1">
    <w:name w:val="SubItem Lvl 1"/>
    <w:basedOn w:val="Normal"/>
    <w:uiPriority w:val="99"/>
    <w:rsid w:val="00552F89"/>
    <w:pPr>
      <w:spacing w:after="0" w:line="240" w:lineRule="auto"/>
      <w:ind w:left="2160" w:hanging="720"/>
      <w:jc w:val="both"/>
    </w:pPr>
    <w:rPr>
      <w:rFonts w:ascii="Times New Roman" w:eastAsia="Times New Roman" w:hAnsi="Times New Roman" w:cs="Times New Roman"/>
      <w:sz w:val="20"/>
      <w:szCs w:val="20"/>
    </w:rPr>
  </w:style>
  <w:style w:type="paragraph" w:customStyle="1" w:styleId="MOBody1">
    <w:name w:val="MO Body 1"/>
    <w:basedOn w:val="Normal"/>
    <w:next w:val="Normal"/>
    <w:rsid w:val="003F7119"/>
    <w:pPr>
      <w:spacing w:after="240" w:line="240" w:lineRule="auto"/>
      <w:ind w:left="720"/>
    </w:pPr>
    <w:rPr>
      <w:rFonts w:ascii="Garamond" w:eastAsia="Times New Roman" w:hAnsi="Garamond" w:cs="Times New Roman"/>
      <w:szCs w:val="24"/>
    </w:rPr>
  </w:style>
  <w:style w:type="paragraph" w:customStyle="1" w:styleId="SubItemLvl2">
    <w:name w:val="SubItem Lvl 2"/>
    <w:basedOn w:val="Normal"/>
    <w:uiPriority w:val="99"/>
    <w:rsid w:val="00367412"/>
    <w:pPr>
      <w:spacing w:after="0" w:line="240" w:lineRule="auto"/>
      <w:ind w:left="2880" w:hanging="720"/>
      <w:jc w:val="both"/>
    </w:pPr>
    <w:rPr>
      <w:rFonts w:ascii="Times New Roman" w:eastAsia="Times New Roman" w:hAnsi="Times New Roman" w:cs="Times New Roman"/>
      <w:sz w:val="20"/>
      <w:szCs w:val="20"/>
    </w:rPr>
  </w:style>
  <w:style w:type="table" w:styleId="TableGrid">
    <w:name w:val="Table Grid"/>
    <w:basedOn w:val="TableNormal"/>
    <w:uiPriority w:val="59"/>
    <w:rsid w:val="000C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A57BF"/>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BA57BF"/>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E63F-4C17-4CAB-A217-8A5B6376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Huisman, John</dc:creator>
  <cp:lastModifiedBy>Huisman, John</cp:lastModifiedBy>
  <cp:revision>9</cp:revision>
  <cp:lastPrinted>2015-09-04T14:41:00Z</cp:lastPrinted>
  <dcterms:created xsi:type="dcterms:W3CDTF">2015-09-04T20:55:00Z</dcterms:created>
  <dcterms:modified xsi:type="dcterms:W3CDTF">2015-09-04T21:18:00Z</dcterms:modified>
</cp:coreProperties>
</file>